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421851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87679" cy="572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bookmarkStart w:id="0" w:name="_GoBack"/>
      <w:r>
        <w:rPr>
          <w:lang w:eastAsia="ru-RU"/>
        </w:rPr>
      </w:r>
      <w:bookmarkEnd w:id="0"/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70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результатам экспертизы проекта 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Вытегорского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r>
        <w:rPr>
          <w:rFonts w:ascii="Times New Roman" w:hAnsi="Times New Roman"/>
          <w:b/>
          <w:sz w:val="28"/>
          <w:szCs w:val="28"/>
        </w:rPr>
        <w:t xml:space="preserve">Вытегорского муниципального района на 2021-2025 годы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23.</w:t>
      </w:r>
      <w:r>
        <w:rPr>
          <w:rFonts w:ascii="Times New Roman" w:hAnsi="Times New Roman"/>
          <w:sz w:val="28"/>
          <w:szCs w:val="28"/>
        </w:rPr>
        <w:t xml:space="preserve">04.2024 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постановления Администрации Вытегорск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бщих принципах организации и деятельности контрольно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счетных органов субъектов Российской Федерации, федеральных территорий и муниципальных образований» (с последующими изменениями), Положение о Ревизионной комиссией Вытегорского муниципального района, утвержденное Решением Представительного Собрания Вытегор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от 28.06.2023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№ 660.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задачами экспертизы</w:t>
      </w:r>
      <w:r>
        <w:rPr>
          <w:rFonts w:ascii="Times New Roman" w:hAnsi="Times New Roman"/>
          <w:sz w:val="28"/>
          <w:szCs w:val="28"/>
        </w:rPr>
        <w:t xml:space="preserve">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экспертизы</w:t>
      </w:r>
      <w:r>
        <w:rPr>
          <w:rFonts w:ascii="Times New Roman" w:hAnsi="Times New Roman"/>
          <w:sz w:val="28"/>
          <w:szCs w:val="28"/>
        </w:rPr>
        <w:t xml:space="preserve"> является проект</w:t>
      </w:r>
      <w:r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Администрации Вытегорского муниципального района (далее - Управление ЖКХ).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экспертиза проекта нормативно – правового акта муниципальной программы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 разработки, реализации и оценки эффективности реализации муниципальных программ Вытегорского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Порядка)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52" w:lineRule="atLeast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евизи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Парфеновой И.А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 w:val="0"/>
          <w:bCs w:val="0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Администрации Вытегорского муниципального района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Вытегорского муниципального района на 2021-2025 годы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поступил в Ревизионную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комиссию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без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сопроводительн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письм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19.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04.2024 года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Theme="minorHAnsi"/>
          <w:b w:val="0"/>
          <w:bCs w:val="0"/>
          <w:sz w:val="28"/>
          <w:szCs w:val="28"/>
        </w:rPr>
      </w:r>
      <w:r>
        <w:rPr>
          <w:rFonts w:ascii="Times New Roman" w:hAnsi="Times New Roman" w:eastAsiaTheme="minorHAnsi"/>
          <w:b w:val="0"/>
          <w:bCs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  <w:outlineLvl w:val="0"/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left="0" w:right="0" w:firstLine="540"/>
        <w:jc w:val="both"/>
        <w:spacing w:before="0" w:after="0" w:line="180" w:lineRule="atLeas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не позднее 1 апреля текущего финансового года.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       В целях реализации положений статьи 179 Бюджетного Кодекса Российской Федерации принято постановление Администрации Вытего</w:t>
      </w:r>
      <w:r>
        <w:rPr>
          <w:rFonts w:ascii="Times New Roman" w:hAnsi="Times New Roman" w:eastAsiaTheme="minorHAnsi"/>
          <w:sz w:val="28"/>
          <w:szCs w:val="28"/>
        </w:rPr>
        <w:t xml:space="preserve">рского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08.05.2018</w:t>
      </w:r>
      <w:r>
        <w:rPr>
          <w:rFonts w:ascii="Times New Roman" w:hAnsi="Times New Roman"/>
          <w:sz w:val="28"/>
          <w:szCs w:val="28"/>
          <w:lang w:eastAsia="ru-RU"/>
        </w:rPr>
        <w:t xml:space="preserve"> №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Ревизионная комиссия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обращает внимание</w:t>
      </w:r>
      <w:r>
        <w:rPr>
          <w:rFonts w:ascii="Times New Roman" w:hAnsi="Times New Roman"/>
          <w:sz w:val="28"/>
          <w:szCs w:val="28"/>
        </w:rPr>
        <w:t xml:space="preserve"> на необходимость внесения изменений в указанный Порядок</w:t>
      </w:r>
      <w:r>
        <w:rPr>
          <w:rFonts w:ascii="Times New Roman" w:hAnsi="Times New Roman"/>
          <w:sz w:val="28"/>
          <w:szCs w:val="28"/>
        </w:rPr>
        <w:t xml:space="preserve"> в связи с внесением изменений в Бюджетный Кодекс</w:t>
      </w:r>
      <w:r>
        <w:rPr>
          <w:rFonts w:ascii="Times New Roman" w:hAnsi="Times New Roman" w:eastAsiaTheme="minorHAnsi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«Формирование комфортной среды проживания на территории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(далее-Программа) в соответствие с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Представительного Собрания  от 13.12.2023 № 702 «О районном бюджете на 2024 год и плановый период 2025 и 2026 годов» (с изменениями) </w:t>
      </w:r>
      <w:r>
        <w:rPr>
          <w:rFonts w:ascii="Times New Roman" w:hAnsi="Times New Roman"/>
          <w:sz w:val="28"/>
          <w:szCs w:val="28"/>
        </w:rPr>
        <w:t xml:space="preserve">вносятся изменения в паспорт, тексто</w:t>
      </w:r>
      <w:r>
        <w:rPr>
          <w:rFonts w:ascii="Times New Roman" w:hAnsi="Times New Roman"/>
          <w:sz w:val="28"/>
          <w:szCs w:val="28"/>
        </w:rPr>
        <w:t xml:space="preserve">вую часть Программы, соответствующие приложения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финансового обеспечения. 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firstLine="567"/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постановления </w:t>
      </w:r>
      <w:r>
        <w:rPr>
          <w:rFonts w:ascii="Times New Roman" w:hAnsi="Times New Roman"/>
          <w:sz w:val="28"/>
          <w:szCs w:val="28"/>
        </w:rPr>
        <w:t xml:space="preserve">предлагает внести </w:t>
      </w:r>
      <w:r>
        <w:rPr>
          <w:rFonts w:ascii="Times New Roman" w:hAnsi="Times New Roman"/>
          <w:sz w:val="28"/>
          <w:szCs w:val="28"/>
        </w:rPr>
        <w:t xml:space="preserve">внести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объем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финансирования </w:t>
      </w:r>
      <w:r>
        <w:rPr>
          <w:rFonts w:ascii="Times New Roman" w:hAnsi="Times New Roman"/>
          <w:sz w:val="28"/>
          <w:szCs w:val="28"/>
        </w:rPr>
        <w:t xml:space="preserve">подпрограмм  2, 3, 4</w:t>
      </w:r>
      <w:r>
        <w:rPr>
          <w:rFonts w:ascii="Times New Roman" w:hAnsi="Times New Roman"/>
          <w:sz w:val="28"/>
          <w:szCs w:val="28"/>
          <w:lang w:val="en-US"/>
        </w:rPr>
        <w:t xml:space="preserve"> и 5: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ind w:firstLine="0"/>
        <w:jc w:val="both"/>
        <w:spacing w:after="0" w:line="240" w:lineRule="auto"/>
        <w:tabs>
          <w:tab w:val="left" w:pos="567" w:leader="none"/>
        </w:tabs>
        <w:rPr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сократить объем финансирования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 xml:space="preserve">Подпрограммы 2 “Переселен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en-US"/>
        </w:rPr>
        <w:t xml:space="preserve">ие граждан из аварийного жилищного фонда в Вытегорском муниципальном районе с учетом необходимости развития малоэтажного строительства на 2021-2025 годы” в 2025 году на 3000,0 тыс. рублей (-100,0%), </w:t>
      </w:r>
      <w:r>
        <w:rPr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  <w:highlight w:val="none"/>
          <w:lang w:val="en-US"/>
        </w:rPr>
        <w:t xml:space="preserve">исключив финансирование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val="en-US"/>
        </w:rPr>
        <w:t xml:space="preserve"> Основного мероприятия 2 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val="en-US"/>
        </w:rPr>
        <w:t xml:space="preserve">“Ликвидация многоквартирных домов, признанных до 01 января 2017 года в установленном порядке аварийными и подлежащими сносу в связи с фактическим износом в процессе их эксплуатации”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финансирования 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2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целом составит 494032,2 тыс. рублей, что меньше ранее утвержденных объемов на 3000,0 тыс. рублей (-0,6%)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;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       2)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увеличить объем финансирования Подпрограммы 3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«Развитие транспортной системы на территории Вытегорского муниципального района на 2021-2025 годы»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в целом на 211223,7 тыс. рублей (+51,6%), в том числе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реализации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Основного мероприятия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1 «Ремонт автомобильных дорог и искусственных сооружений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предлагается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увеличить объем финансирования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в 2024 году на 147223,7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(+174,9%)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(проведение работ на капитальный ремонт асфальтобетонного покрытия на участке автомобильной дороги п. Александровское - п. Анненский Мост(1 этап) и на проведение работ по текущему ремонту автомобильной дороги Захарьино-Стансельга),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2025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увеличить финансирование на 64000,0 тыс. рублей (+107,9%)</w:t>
      </w:r>
      <w:r>
        <w:rPr>
          <w:rFonts w:ascii="Times New Roman" w:hAnsi="Times New Roman" w:cs="Times New Roman"/>
          <w:i w:val="0"/>
          <w:iCs w:val="0"/>
          <w:color w:val="000000"/>
          <w:sz w:val="28"/>
          <w:szCs w:val="28"/>
          <w:highlight w:val="white"/>
          <w:lang w:eastAsia="ru-RU"/>
        </w:rPr>
        <w:t xml:space="preserve"> (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роведение работ на капитальный ремонт асфальтобетонного покрытия на участке автомобильной дороги п. Александровское - п. Анненский Мост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(2 этап)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Основному мероприятию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4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«Обеспечение безопасности дорожного движения»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финансирование уменьшается на 1978,0 тыс. рублей.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Объем финансирования Подпрограмм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3 в 2024 году составит 231387,8 тыс. рублей, в 2025 году-123291,7 тыс. рублей. Общий объем финансирования Подпрограммы 3 - 620312,1 тыс. рублей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  <w:t xml:space="preserve">;  </w:t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val="ru-RU"/>
        </w:rPr>
      </w:r>
    </w:p>
    <w:p>
      <w:pPr>
        <w:ind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3) увеличить объем финансирования Подпрограммы 4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«Организация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Федерации»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44809,3 тыс. рублей (+47,6%), в том числе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bCs/>
          <w:i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-в 2024 году увеличить на 19809,3 тыс. рублей (+103,0%), в том числе на реализацию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Основного мероприятия 2 «Организация обеспечения жителей района теплоснабжением» -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10309,3 тыс. рублей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Основного мероприятия 3 «Организация обеспечения жителей района водоснабжением и водоотведением»  -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9500,0 тыс. рублей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bCs/>
          <w:i/>
          <w:color w:val="000000"/>
          <w:sz w:val="28"/>
          <w:szCs w:val="28"/>
          <w:highlight w:val="none"/>
          <w:lang w:eastAsia="ru-RU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      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2025 году увеличить на 25000,0 тыс. рублей (+203,8%)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реализацию 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Основного мероприятия 2 «Организация обеспечения жителей района теплоснабжением»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left="0" w:firstLine="0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Подпрограммы 4 составит 94184,2 тыс. рублей</w:t>
      </w:r>
      <w:r>
        <w:t xml:space="preserve">;</w:t>
      </w:r>
      <w:r>
        <w:rPr>
          <w:rFonts w:ascii="Times New Roman" w:hAnsi="Times New Roman"/>
          <w:bCs/>
          <w:i/>
          <w:color w:val="000000"/>
          <w:sz w:val="28"/>
          <w:szCs w:val="28"/>
        </w:rPr>
      </w:r>
      <w:r>
        <w:rPr>
          <w:rFonts w:ascii="Times New Roman" w:hAnsi="Times New Roman"/>
          <w:bCs/>
          <w:i/>
          <w:color w:val="000000"/>
          <w:sz w:val="28"/>
          <w:szCs w:val="28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4)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увеличить объем финансирования Подпрограммы 5 </w:t>
      </w:r>
      <w:r>
        <w:rPr>
          <w:rFonts w:ascii="Times New Roman" w:hAnsi="Times New Roman"/>
          <w:i w:val="0"/>
          <w:iCs w:val="0"/>
          <w:color w:val="000000"/>
          <w:sz w:val="28"/>
          <w:szCs w:val="28"/>
          <w:lang w:eastAsia="ru-RU"/>
        </w:rPr>
        <w:t xml:space="preserve">«Обеспечение реализации программы, прочие мероприятия в области жилищно-коммунального хозяйства»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целом на 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866,7 тыс. рублей (+3,5%), в том числе: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-в 2024 году - на 866,7 тыс. рублей (+16,8%) </w:t>
      </w:r>
      <w:r>
        <w:rPr>
          <w:rFonts w:ascii="Times New Roman" w:hAnsi="Times New Roman"/>
          <w:i/>
          <w:iCs/>
          <w:color w:val="000000"/>
          <w:sz w:val="28"/>
          <w:szCs w:val="28"/>
          <w:highlight w:val="none"/>
          <w:lang w:eastAsia="ru-RU"/>
        </w:rPr>
        <w:t xml:space="preserve">Основное мероприятие 1 «Обеспечение деятельности управления жилищно-коммунального хозяйства, транспорта и строительства Администрации Вытегорского муниципального района, как ответственного исполнителя программы»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Общий объем финансирования Подпрограммы 5 составит 25600,7 тыс. рублей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целом общий объем финансирования муниципальной программы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комфортной среды проживания на территории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 муниципального района на 2021-2025 годы» увеличится на 253899,8 тыс. рублей (+23,4%)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составит 1336969,2 тыс. рублей, в том числе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2024 год объем финансирования увеличится на 167899,8 тыс. рублей (+46,7%), на 2025 год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объем финансирования увеличится на 86000,0 тыс. рублей (+93,5%)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Проектом постановления предлагается: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afterAutospacing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- дополнить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перечень мероприятий, предусмотренных в рамках реализации Основного мероприятия 1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«Ремонт автомобильных дорог и искусстве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ных сооружени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й» подпрограммы 3: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текущий ремонт дорожного покрытия в д. Ольково с укладкой водопропускных труб.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       -дополнить наименование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объектов, подлежащих к реализации в 2024 году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в 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Приложении 5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к подпрограмме 3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Финансовые затраты и показатели результативности подпрограммы 3: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Выполнение работ по текущему содержанию опорной сети автомобильных дорог местного знач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ния на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территории Вытегорского муниципального района (посёлок Волоков Мост, деревня Макачево, деревня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Тудозерский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Погост, посёлок Октябрьский, посёлок Сорокополье, село Андомский Погост, посёлок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Павшозеро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 село Александровское, село Анненский Мост, деревня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Анхимово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деревня Боярское, посёлок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Белоусово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деревня Белый Ручей,  деревня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Ялосарь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посёлок Депо, посёлок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Янишево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 село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Девятины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посёлок Мирный, деревня Верхнее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Понизовье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деревня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Палтога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село Мегра, село Ошта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Общая сумма финансовых затрат составит 14936,29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рублей, в том числе за счет субсидии дорожного фонда Вологодской области -  97%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за счет средств районного бюджета - 3,0%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Планируемый показатель результативности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</w:t>
      </w:r>
      <w:r>
        <w:rPr>
          <w:rStyle w:val="1_974"/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</w:rPr>
        <w:t xml:space="preserve">протяженность автомобильных дорог</w:t>
      </w:r>
      <w:r>
        <w:rPr>
          <w:rStyle w:val="1_974"/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</w:rPr>
        <w:t xml:space="preserve">, поддерживаемых в надлежащем техническом состоянии, составит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198,317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  <w:t xml:space="preserve">Проектом постановления вносятся соответствующие изменения в приложения к программе и подпрограммам.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Экспертиза показала, что внесение изменений</w:t>
      </w:r>
      <w:r>
        <w:rPr>
          <w:rFonts w:ascii="Times New Roman" w:hAnsi="Times New Roman"/>
          <w:sz w:val="28"/>
          <w:szCs w:val="28"/>
        </w:rPr>
        <w:t xml:space="preserve"> в Программу</w:t>
      </w:r>
      <w:r>
        <w:rPr>
          <w:rFonts w:ascii="Times New Roman" w:hAnsi="Times New Roman"/>
          <w:sz w:val="28"/>
          <w:szCs w:val="28"/>
        </w:rPr>
        <w:t xml:space="preserve"> является обоснованным. Изменения вносятся в сроки, 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Порядком разработки, реализации и оценки эффективности реализации муниципальных программ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 Вытегорского муниципального района.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highlight w:val="none"/>
          <w:u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Ресурсное обесп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ечение Программы в разрезе подпрограмм  соответствует бюджетным ассигнованиям, утвержденным решениям Представительного Собрания  от 13.12.2023 № 702 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«О районном бюджете на 2024 год и плановый период 2025 и 2026 годов»</w:t>
      </w:r>
      <w:r>
        <w:rPr>
          <w:rFonts w:ascii="Times New Roman" w:hAnsi="Times New Roman"/>
          <w:color w:val="000000"/>
          <w:sz w:val="28"/>
          <w:szCs w:val="28"/>
          <w:highlight w:val="none"/>
          <w:u w:val="none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  <w:u w:val="none"/>
        </w:rPr>
      </w:r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редставленный проект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«Формирование комфортной среды проживания на территории Вытегорского муниципального района на 2021-2025 годы»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разработки, реализации и оценки эффективности реализации муниципальных программ Вытегорского муниципального района, утвержденного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Вытегорского муниципального района  от 08.05.2018  № 586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none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Ревизионная комиссия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/>
          <w:b/>
          <w:bCs/>
          <w:color w:val="000000"/>
          <w:sz w:val="28"/>
          <w:szCs w:val="28"/>
          <w:u w:val="none"/>
        </w:rPr>
        <w:t xml:space="preserve">рекомендует проект постановления к рассмотрению.</w:t>
      </w:r>
      <w:r>
        <w:rPr>
          <w:rFonts w:ascii="Times New Roman" w:hAnsi="Times New Roman"/>
          <w:b/>
          <w:bCs/>
          <w:color w:val="000000"/>
          <w:sz w:val="28"/>
          <w:szCs w:val="28"/>
          <w:u w:val="none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ВМР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И.А. Парфенова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2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isLgl w:val="false"/>
      <w:suff w:val="tab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isLgl w:val="false"/>
      <w:suff w:val="tab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5"/>
    <w:next w:val="865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6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5"/>
    <w:next w:val="865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6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5"/>
    <w:next w:val="865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6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5"/>
    <w:next w:val="865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6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5"/>
    <w:next w:val="865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6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5"/>
    <w:next w:val="865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6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5"/>
    <w:next w:val="865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6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5"/>
    <w:next w:val="865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6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5"/>
    <w:next w:val="865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6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5"/>
    <w:next w:val="865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6"/>
    <w:link w:val="708"/>
    <w:uiPriority w:val="10"/>
    <w:rPr>
      <w:sz w:val="48"/>
      <w:szCs w:val="48"/>
    </w:rPr>
  </w:style>
  <w:style w:type="paragraph" w:styleId="710">
    <w:name w:val="Subtitle"/>
    <w:basedOn w:val="865"/>
    <w:next w:val="865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6"/>
    <w:link w:val="710"/>
    <w:uiPriority w:val="11"/>
    <w:rPr>
      <w:sz w:val="24"/>
      <w:szCs w:val="24"/>
    </w:rPr>
  </w:style>
  <w:style w:type="paragraph" w:styleId="712">
    <w:name w:val="Quote"/>
    <w:basedOn w:val="865"/>
    <w:next w:val="865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5"/>
    <w:next w:val="865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5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6"/>
    <w:link w:val="716"/>
    <w:uiPriority w:val="99"/>
  </w:style>
  <w:style w:type="paragraph" w:styleId="718">
    <w:name w:val="Footer"/>
    <w:basedOn w:val="865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6"/>
    <w:link w:val="718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3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6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6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rPr>
      <w:rFonts w:ascii="Calibri" w:hAnsi="Calibri" w:eastAsia="Times New Roman" w:cs="Times New Roman"/>
    </w:rPr>
  </w:style>
  <w:style w:type="character" w:styleId="866" w:default="1">
    <w:name w:val="Default Paragraph Font"/>
    <w:uiPriority w:val="1"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table" w:styleId="869">
    <w:name w:val="Table Grid"/>
    <w:basedOn w:val="86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7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1" w:customStyle="1">
    <w:name w:val="Знак"/>
    <w:basedOn w:val="86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72">
    <w:name w:val="Normal (Web)"/>
    <w:basedOn w:val="86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3">
    <w:name w:val="Balloon Text"/>
    <w:basedOn w:val="865"/>
    <w:link w:val="87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866"/>
    <w:link w:val="87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75">
    <w:name w:val="List Paragraph"/>
    <w:basedOn w:val="865"/>
    <w:uiPriority w:val="34"/>
    <w:qFormat/>
    <w:pPr>
      <w:contextualSpacing/>
      <w:ind w:left="720"/>
    </w:p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1_974" w:customStyle="1">
    <w:name w:val="Основной текст + 8 pt;Интервал 0 pt"/>
    <w:basedOn w:val="67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3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CFAA-D01A-4450-8001-772DAD46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revision>15</cp:revision>
  <dcterms:created xsi:type="dcterms:W3CDTF">2022-07-27T07:23:00Z</dcterms:created>
  <dcterms:modified xsi:type="dcterms:W3CDTF">2024-04-23T11:15:09Z</dcterms:modified>
</cp:coreProperties>
</file>