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2" w:rsidRDefault="000A6571">
      <w:pPr>
        <w:tabs>
          <w:tab w:val="left" w:pos="567"/>
        </w:tabs>
        <w:jc w:val="center"/>
        <w:rPr>
          <w:noProof/>
          <w:lang w:eastAsia="ru-RU"/>
        </w:rPr>
      </w:pPr>
      <w:r w:rsidRPr="00EF1D5A">
        <w:rPr>
          <w:noProof/>
          <w:lang w:eastAsia="ru-RU"/>
        </w:rPr>
        <w:drawing>
          <wp:inline distT="0" distB="0" distL="0" distR="0">
            <wp:extent cx="480060" cy="563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FC2292" w:rsidRDefault="00A9156B" w:rsidP="00654C98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FC2292" w:rsidRDefault="00A9156B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FC2292" w:rsidRDefault="00A91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C2292" w:rsidRDefault="00A9156B" w:rsidP="00654C98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Девятинское </w:t>
      </w:r>
      <w:r w:rsidR="00654C9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FC2292" w:rsidRDefault="002A49D7" w:rsidP="00654C9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915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A9156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A9156B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г. Вытегра</w:t>
      </w:r>
    </w:p>
    <w:p w:rsidR="00FC2292" w:rsidRDefault="00A9156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Девятинское </w:t>
      </w:r>
      <w:r w:rsidR="00654C98" w:rsidRPr="00654C98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654C98">
        <w:rPr>
          <w:rFonts w:ascii="Times New Roman" w:hAnsi="Times New Roman"/>
          <w:sz w:val="28"/>
          <w:szCs w:val="28"/>
        </w:rPr>
        <w:t xml:space="preserve"> (далее - Совета сельского поселения Девятинское) </w:t>
      </w:r>
      <w:r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</w:t>
      </w:r>
      <w:r w:rsidR="00654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A74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</w:t>
      </w:r>
      <w:r w:rsidR="00DA74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DA744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744B">
        <w:rPr>
          <w:rFonts w:ascii="Times New Roman" w:hAnsi="Times New Roman"/>
          <w:sz w:val="28"/>
          <w:szCs w:val="28"/>
        </w:rPr>
        <w:t>34</w:t>
      </w:r>
      <w:r w:rsidR="002A49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Вытегорского муниципального района на 202</w:t>
      </w:r>
      <w:r w:rsidR="002A49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   </w:t>
      </w:r>
      <w:r>
        <w:rPr>
          <w:sz w:val="28"/>
          <w:szCs w:val="28"/>
        </w:rPr>
        <w:t xml:space="preserve">       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Девятинское от </w:t>
      </w:r>
      <w:r w:rsidR="00DA744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DA74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A744B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Девятинское на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A74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DA74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 </w:t>
      </w:r>
    </w:p>
    <w:p w:rsidR="00FC2292" w:rsidRDefault="00A9156B" w:rsidP="00E774BA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внести изменения в доходную и расходную части бюджета поселения на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A744B">
        <w:rPr>
          <w:rFonts w:ascii="Times New Roman" w:hAnsi="Times New Roman"/>
          <w:sz w:val="28"/>
          <w:szCs w:val="28"/>
        </w:rPr>
        <w:t>, утвердить дефицит бюджета в размере 80,2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</w:t>
      </w:r>
      <w:r w:rsidR="00DA744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C2292" w:rsidRPr="00E774BA">
        <w:trPr>
          <w:trHeight w:val="672"/>
        </w:trPr>
        <w:tc>
          <w:tcPr>
            <w:tcW w:w="3626" w:type="dxa"/>
            <w:noWrap/>
          </w:tcPr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DA744B">
              <w:rPr>
                <w:rFonts w:ascii="Times New Roman" w:hAnsi="Times New Roman"/>
                <w:sz w:val="18"/>
                <w:szCs w:val="18"/>
              </w:rPr>
              <w:t>15</w:t>
            </w:r>
            <w:r w:rsidRPr="00E774BA">
              <w:rPr>
                <w:rFonts w:ascii="Times New Roman" w:hAnsi="Times New Roman"/>
                <w:sz w:val="18"/>
                <w:szCs w:val="18"/>
              </w:rPr>
              <w:t>.12.2</w:t>
            </w:r>
            <w:r w:rsidR="00DA744B">
              <w:rPr>
                <w:rFonts w:ascii="Times New Roman" w:hAnsi="Times New Roman"/>
                <w:sz w:val="18"/>
                <w:szCs w:val="18"/>
              </w:rPr>
              <w:t>3</w:t>
            </w:r>
            <w:r w:rsidRPr="00E774B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A744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77" w:type="dxa"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C2292" w:rsidRPr="00E774BA" w:rsidRDefault="00A9156B" w:rsidP="00DA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DA744B" w:rsidRPr="00E774BA" w:rsidTr="00B22A41">
        <w:trPr>
          <w:trHeight w:val="300"/>
        </w:trPr>
        <w:tc>
          <w:tcPr>
            <w:tcW w:w="3626" w:type="dxa"/>
            <w:noWrap/>
          </w:tcPr>
          <w:p w:rsidR="00DA744B" w:rsidRPr="00E774BA" w:rsidRDefault="00DA744B" w:rsidP="00DA744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20075,0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20568,1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+493,1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+2,5%</w:t>
            </w:r>
          </w:p>
        </w:tc>
      </w:tr>
      <w:tr w:rsidR="00DA744B" w:rsidRPr="00E774BA" w:rsidTr="00B22A41">
        <w:trPr>
          <w:trHeight w:val="300"/>
        </w:trPr>
        <w:tc>
          <w:tcPr>
            <w:tcW w:w="3626" w:type="dxa"/>
            <w:noWrap/>
          </w:tcPr>
          <w:p w:rsidR="00DA744B" w:rsidRPr="00E774BA" w:rsidRDefault="00DA744B" w:rsidP="00DA7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color w:val="000000"/>
                <w:sz w:val="20"/>
                <w:szCs w:val="20"/>
              </w:rPr>
              <w:t>5086,7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color w:val="000000"/>
                <w:sz w:val="20"/>
                <w:szCs w:val="20"/>
              </w:rPr>
              <w:t>5086,7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DA744B" w:rsidRPr="00E774BA" w:rsidTr="00B22A41">
        <w:trPr>
          <w:trHeight w:val="300"/>
        </w:trPr>
        <w:tc>
          <w:tcPr>
            <w:tcW w:w="3626" w:type="dxa"/>
            <w:noWrap/>
          </w:tcPr>
          <w:p w:rsidR="00DA744B" w:rsidRPr="00E774BA" w:rsidRDefault="00DA744B" w:rsidP="00DA74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color w:val="000000"/>
                <w:sz w:val="20"/>
                <w:szCs w:val="20"/>
              </w:rPr>
              <w:t>14988,3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color w:val="000000"/>
                <w:sz w:val="20"/>
                <w:szCs w:val="20"/>
              </w:rPr>
              <w:t>15481,4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+493,1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744B" w:rsidRPr="00DA744B" w:rsidRDefault="00DA744B" w:rsidP="00DA74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+3,3%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FC2292" w:rsidRPr="00DA744B" w:rsidRDefault="00DA744B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744B">
              <w:rPr>
                <w:rFonts w:ascii="Times New Roman" w:hAnsi="Times New Roman"/>
                <w:b/>
                <w:sz w:val="20"/>
                <w:szCs w:val="20"/>
              </w:rPr>
              <w:t>20075,0</w:t>
            </w:r>
          </w:p>
        </w:tc>
        <w:tc>
          <w:tcPr>
            <w:tcW w:w="1677" w:type="dxa"/>
            <w:noWrap/>
          </w:tcPr>
          <w:p w:rsidR="00FC2292" w:rsidRPr="00DA744B" w:rsidRDefault="00DA744B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20648,3</w:t>
            </w:r>
          </w:p>
        </w:tc>
        <w:tc>
          <w:tcPr>
            <w:tcW w:w="1259" w:type="dxa"/>
            <w:noWrap/>
          </w:tcPr>
          <w:p w:rsidR="00FC2292" w:rsidRPr="00DA744B" w:rsidRDefault="00DA744B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+573,3</w:t>
            </w:r>
          </w:p>
        </w:tc>
        <w:tc>
          <w:tcPr>
            <w:tcW w:w="1106" w:type="dxa"/>
            <w:noWrap/>
          </w:tcPr>
          <w:p w:rsidR="00FC2292" w:rsidRPr="00DA744B" w:rsidRDefault="00DA744B" w:rsidP="00DA74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+2,9</w:t>
            </w:r>
            <w:r w:rsidR="004C10AC" w:rsidRPr="00DA744B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FC2292" w:rsidRPr="00E774BA" w:rsidRDefault="00DA744B" w:rsidP="00DA74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- 80,2</w:t>
            </w:r>
          </w:p>
        </w:tc>
        <w:tc>
          <w:tcPr>
            <w:tcW w:w="1259" w:type="dxa"/>
            <w:noWrap/>
          </w:tcPr>
          <w:p w:rsidR="00FC2292" w:rsidRPr="00E774BA" w:rsidRDefault="00DA744B" w:rsidP="00DA74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+80,2</w:t>
            </w:r>
          </w:p>
        </w:tc>
        <w:tc>
          <w:tcPr>
            <w:tcW w:w="1106" w:type="dxa"/>
            <w:noWrap/>
          </w:tcPr>
          <w:p w:rsidR="00FC2292" w:rsidRPr="00E774BA" w:rsidRDefault="00FC2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16EF0" w:rsidRDefault="00A9156B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7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плановый объем доходов бюджета в 202</w:t>
      </w:r>
      <w:r w:rsidR="00DA7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у</w:t>
      </w:r>
      <w:r w:rsidR="00DA744B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7FDD">
        <w:rPr>
          <w:rFonts w:ascii="Times New Roman" w:hAnsi="Times New Roman"/>
          <w:sz w:val="28"/>
          <w:szCs w:val="28"/>
        </w:rPr>
        <w:t>на 4</w:t>
      </w:r>
      <w:r w:rsidR="00DA744B">
        <w:rPr>
          <w:rFonts w:ascii="Times New Roman" w:hAnsi="Times New Roman"/>
          <w:sz w:val="28"/>
          <w:szCs w:val="28"/>
        </w:rPr>
        <w:t>93,1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DA744B">
        <w:rPr>
          <w:rFonts w:ascii="Times New Roman" w:hAnsi="Times New Roman"/>
          <w:sz w:val="28"/>
          <w:szCs w:val="28"/>
        </w:rPr>
        <w:t>+2,5</w:t>
      </w:r>
      <w:r w:rsidR="0079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DA744B">
        <w:rPr>
          <w:rFonts w:ascii="Times New Roman" w:hAnsi="Times New Roman"/>
          <w:sz w:val="28"/>
          <w:szCs w:val="28"/>
        </w:rPr>
        <w:t>20568,1 т</w:t>
      </w:r>
      <w:r>
        <w:rPr>
          <w:rFonts w:ascii="Times New Roman" w:hAnsi="Times New Roman"/>
          <w:sz w:val="28"/>
          <w:szCs w:val="28"/>
        </w:rPr>
        <w:t>ыс. рублей.</w:t>
      </w:r>
    </w:p>
    <w:p w:rsidR="00FC2292" w:rsidRDefault="00116EF0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156B">
        <w:rPr>
          <w:rFonts w:ascii="Times New Roman" w:hAnsi="Times New Roman"/>
          <w:sz w:val="28"/>
          <w:szCs w:val="28"/>
        </w:rPr>
        <w:t xml:space="preserve"> План поступлений налоговых и неналоговых доходов останется без изменений и составит </w:t>
      </w:r>
      <w:r w:rsidR="00DA744B">
        <w:rPr>
          <w:rFonts w:ascii="Times New Roman" w:hAnsi="Times New Roman"/>
          <w:sz w:val="28"/>
          <w:szCs w:val="28"/>
        </w:rPr>
        <w:t>5086,7</w:t>
      </w:r>
      <w:r w:rsidR="00A9156B">
        <w:rPr>
          <w:rFonts w:ascii="Times New Roman" w:hAnsi="Times New Roman"/>
          <w:sz w:val="28"/>
          <w:szCs w:val="28"/>
        </w:rPr>
        <w:t xml:space="preserve"> тыс. рублей.</w:t>
      </w:r>
      <w:r w:rsidR="008E0738"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>Объем безвозмездных поступлений у</w:t>
      </w:r>
      <w:r w:rsidR="00DA744B">
        <w:rPr>
          <w:rFonts w:ascii="Times New Roman" w:hAnsi="Times New Roman"/>
          <w:sz w:val="28"/>
          <w:szCs w:val="28"/>
        </w:rPr>
        <w:t>величится</w:t>
      </w:r>
      <w:r w:rsidR="00A9156B">
        <w:rPr>
          <w:rFonts w:ascii="Times New Roman" w:hAnsi="Times New Roman"/>
          <w:sz w:val="28"/>
          <w:szCs w:val="28"/>
        </w:rPr>
        <w:t xml:space="preserve"> на </w:t>
      </w:r>
      <w:r w:rsidR="00797FDD">
        <w:rPr>
          <w:rFonts w:ascii="Times New Roman" w:hAnsi="Times New Roman"/>
          <w:sz w:val="28"/>
          <w:szCs w:val="28"/>
        </w:rPr>
        <w:t>4</w:t>
      </w:r>
      <w:r w:rsidR="00DA744B">
        <w:rPr>
          <w:rFonts w:ascii="Times New Roman" w:hAnsi="Times New Roman"/>
          <w:sz w:val="28"/>
          <w:szCs w:val="28"/>
        </w:rPr>
        <w:t>93,1</w:t>
      </w:r>
      <w:r w:rsidR="00A9156B">
        <w:rPr>
          <w:rFonts w:ascii="Times New Roman" w:hAnsi="Times New Roman"/>
          <w:sz w:val="28"/>
          <w:szCs w:val="28"/>
        </w:rPr>
        <w:t xml:space="preserve"> тыс. рублей (</w:t>
      </w:r>
      <w:r w:rsidR="00DA744B">
        <w:rPr>
          <w:rFonts w:ascii="Times New Roman" w:hAnsi="Times New Roman"/>
          <w:sz w:val="28"/>
          <w:szCs w:val="28"/>
        </w:rPr>
        <w:t>+ 3,3</w:t>
      </w:r>
      <w:r w:rsidR="00A9156B">
        <w:rPr>
          <w:rFonts w:ascii="Times New Roman" w:hAnsi="Times New Roman"/>
          <w:sz w:val="28"/>
          <w:szCs w:val="28"/>
        </w:rPr>
        <w:t>%)</w:t>
      </w:r>
      <w:r w:rsidR="00DA744B">
        <w:rPr>
          <w:rFonts w:ascii="Times New Roman" w:hAnsi="Times New Roman"/>
          <w:sz w:val="28"/>
          <w:szCs w:val="28"/>
        </w:rPr>
        <w:t xml:space="preserve"> за счет увеличения прочих безвозмездных поступлений от негосударственных организаций (финансовая помощь по договору от АО «Белый Ручей»). </w:t>
      </w:r>
      <w:r w:rsidR="00A9156B">
        <w:rPr>
          <w:rFonts w:ascii="Times New Roman" w:hAnsi="Times New Roman"/>
          <w:sz w:val="28"/>
          <w:szCs w:val="28"/>
        </w:rPr>
        <w:t xml:space="preserve">Общий объем безвозмездных </w:t>
      </w:r>
      <w:r w:rsidR="00A9156B">
        <w:rPr>
          <w:rFonts w:ascii="Times New Roman" w:hAnsi="Times New Roman"/>
          <w:sz w:val="28"/>
          <w:szCs w:val="28"/>
        </w:rPr>
        <w:lastRenderedPageBreak/>
        <w:t xml:space="preserve">поступлений составит </w:t>
      </w:r>
      <w:r w:rsidR="00DA744B">
        <w:rPr>
          <w:rFonts w:ascii="Times New Roman" w:hAnsi="Times New Roman"/>
          <w:sz w:val="28"/>
          <w:szCs w:val="28"/>
        </w:rPr>
        <w:t>15481,4</w:t>
      </w:r>
      <w:r w:rsidR="008E0738">
        <w:rPr>
          <w:rFonts w:ascii="Times New Roman" w:hAnsi="Times New Roman"/>
          <w:sz w:val="28"/>
          <w:szCs w:val="28"/>
        </w:rPr>
        <w:t xml:space="preserve"> тыс. рублей. </w:t>
      </w:r>
      <w:r w:rsidR="00A9156B"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 w:rsidR="00451AEB">
        <w:rPr>
          <w:rFonts w:ascii="Times New Roman" w:hAnsi="Times New Roman"/>
          <w:sz w:val="28"/>
          <w:szCs w:val="28"/>
        </w:rPr>
        <w:t>75,3</w:t>
      </w:r>
      <w:r w:rsidR="00A915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451AEB">
        <w:rPr>
          <w:rFonts w:ascii="Times New Roman" w:hAnsi="Times New Roman"/>
          <w:sz w:val="28"/>
          <w:szCs w:val="28"/>
        </w:rPr>
        <w:t>24,7</w:t>
      </w:r>
      <w:r w:rsidR="00A9156B">
        <w:rPr>
          <w:rFonts w:ascii="Times New Roman" w:hAnsi="Times New Roman"/>
          <w:sz w:val="28"/>
          <w:szCs w:val="28"/>
        </w:rPr>
        <w:t xml:space="preserve"> %. </w:t>
      </w:r>
    </w:p>
    <w:p w:rsidR="008E0738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</w:t>
      </w:r>
      <w:r w:rsidR="00451AEB">
        <w:rPr>
          <w:rFonts w:ascii="Times New Roman" w:hAnsi="Times New Roman"/>
          <w:sz w:val="28"/>
          <w:szCs w:val="28"/>
        </w:rPr>
        <w:t xml:space="preserve">увеличится </w:t>
      </w:r>
      <w:r w:rsidR="008E0738">
        <w:rPr>
          <w:rFonts w:ascii="Times New Roman" w:hAnsi="Times New Roman"/>
          <w:sz w:val="28"/>
          <w:szCs w:val="28"/>
        </w:rPr>
        <w:t xml:space="preserve">на </w:t>
      </w:r>
      <w:r w:rsidR="00451AEB">
        <w:rPr>
          <w:rFonts w:ascii="Times New Roman" w:hAnsi="Times New Roman"/>
          <w:sz w:val="28"/>
          <w:szCs w:val="28"/>
        </w:rPr>
        <w:t xml:space="preserve">573,3 тыс. рублей за счет увеличения </w:t>
      </w:r>
      <w:r w:rsidR="008E0738">
        <w:rPr>
          <w:rFonts w:ascii="Times New Roman" w:hAnsi="Times New Roman"/>
          <w:sz w:val="28"/>
          <w:szCs w:val="28"/>
        </w:rPr>
        <w:t>доходной части</w:t>
      </w:r>
      <w:r w:rsidR="00451AEB">
        <w:rPr>
          <w:rFonts w:ascii="Times New Roman" w:hAnsi="Times New Roman"/>
          <w:sz w:val="28"/>
          <w:szCs w:val="28"/>
        </w:rPr>
        <w:t xml:space="preserve"> на 493,1 тыс. рублей и средств н</w:t>
      </w:r>
      <w:r w:rsidR="00451AEB" w:rsidRPr="001003D2">
        <w:rPr>
          <w:rFonts w:ascii="Times New Roman" w:hAnsi="Times New Roman"/>
          <w:sz w:val="28"/>
          <w:szCs w:val="28"/>
        </w:rPr>
        <w:t>а счетах бюджета</w:t>
      </w:r>
      <w:r w:rsidR="00486908">
        <w:rPr>
          <w:rFonts w:ascii="Times New Roman" w:hAnsi="Times New Roman"/>
          <w:sz w:val="28"/>
          <w:szCs w:val="28"/>
        </w:rPr>
        <w:t xml:space="preserve"> поселения</w:t>
      </w:r>
      <w:r w:rsidR="00451AEB" w:rsidRPr="001003D2">
        <w:rPr>
          <w:rFonts w:ascii="Times New Roman" w:hAnsi="Times New Roman"/>
          <w:sz w:val="28"/>
          <w:szCs w:val="28"/>
        </w:rPr>
        <w:t xml:space="preserve"> по состоянию </w:t>
      </w:r>
      <w:r w:rsidR="00486908">
        <w:rPr>
          <w:rFonts w:ascii="Times New Roman" w:hAnsi="Times New Roman"/>
          <w:sz w:val="28"/>
          <w:szCs w:val="28"/>
        </w:rPr>
        <w:t xml:space="preserve">на 01.01.2024 года </w:t>
      </w:r>
      <w:r w:rsidR="008E0738">
        <w:rPr>
          <w:rFonts w:ascii="Times New Roman" w:hAnsi="Times New Roman"/>
          <w:sz w:val="28"/>
          <w:szCs w:val="28"/>
        </w:rPr>
        <w:t xml:space="preserve">– </w:t>
      </w:r>
      <w:r w:rsidR="00486908"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869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3192" w:rsidRDefault="008E07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 xml:space="preserve">  </w:t>
      </w:r>
      <w:r w:rsidR="002A31C9"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156B">
        <w:rPr>
          <w:rFonts w:ascii="Times New Roman" w:hAnsi="Times New Roman"/>
          <w:sz w:val="28"/>
          <w:szCs w:val="28"/>
        </w:rPr>
        <w:t>Изменения, внесенные в расходную часть бюджета на 202</w:t>
      </w:r>
      <w:r w:rsidR="00486908">
        <w:rPr>
          <w:rFonts w:ascii="Times New Roman" w:hAnsi="Times New Roman"/>
          <w:sz w:val="28"/>
          <w:szCs w:val="28"/>
        </w:rPr>
        <w:t>4</w:t>
      </w:r>
      <w:r w:rsidR="00A9156B">
        <w:rPr>
          <w:rFonts w:ascii="Times New Roman" w:hAnsi="Times New Roman"/>
          <w:sz w:val="28"/>
          <w:szCs w:val="28"/>
        </w:rPr>
        <w:t xml:space="preserve"> год, в разрезе разделов, подразделов приведены в Приложении 1 к Заключению.</w:t>
      </w:r>
    </w:p>
    <w:p w:rsidR="008E0738" w:rsidRDefault="00C03192" w:rsidP="008E07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</w:t>
      </w:r>
      <w:r w:rsidR="00A20115">
        <w:rPr>
          <w:rFonts w:ascii="Times New Roman" w:hAnsi="Times New Roman"/>
          <w:sz w:val="28"/>
          <w:szCs w:val="28"/>
        </w:rPr>
        <w:t xml:space="preserve">объем расходов по разделу 01 </w:t>
      </w:r>
      <w:r w:rsidR="00A20115" w:rsidRPr="0046731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="00A20115">
        <w:rPr>
          <w:rFonts w:ascii="Times New Roman" w:hAnsi="Times New Roman"/>
          <w:sz w:val="28"/>
          <w:szCs w:val="28"/>
        </w:rPr>
        <w:t xml:space="preserve"> у</w:t>
      </w:r>
      <w:r w:rsidR="00486908">
        <w:rPr>
          <w:rFonts w:ascii="Times New Roman" w:hAnsi="Times New Roman"/>
          <w:sz w:val="28"/>
          <w:szCs w:val="28"/>
        </w:rPr>
        <w:t xml:space="preserve">величить </w:t>
      </w:r>
      <w:r w:rsidR="00A20115">
        <w:rPr>
          <w:rFonts w:ascii="Times New Roman" w:hAnsi="Times New Roman"/>
          <w:sz w:val="28"/>
          <w:szCs w:val="28"/>
        </w:rPr>
        <w:t xml:space="preserve">на </w:t>
      </w:r>
      <w:r w:rsidR="00486908">
        <w:rPr>
          <w:rFonts w:ascii="Times New Roman" w:hAnsi="Times New Roman"/>
          <w:sz w:val="28"/>
          <w:szCs w:val="28"/>
        </w:rPr>
        <w:t xml:space="preserve">80,2 </w:t>
      </w:r>
      <w:r w:rsidR="00A20115">
        <w:rPr>
          <w:rFonts w:ascii="Times New Roman" w:hAnsi="Times New Roman"/>
          <w:sz w:val="28"/>
          <w:szCs w:val="28"/>
        </w:rPr>
        <w:t>тыс. рублей</w:t>
      </w:r>
      <w:r w:rsidR="008E0738">
        <w:rPr>
          <w:rFonts w:ascii="Times New Roman" w:hAnsi="Times New Roman"/>
          <w:sz w:val="28"/>
          <w:szCs w:val="28"/>
        </w:rPr>
        <w:t>.</w:t>
      </w:r>
    </w:p>
    <w:p w:rsidR="00486908" w:rsidRPr="00486908" w:rsidRDefault="003C19C5" w:rsidP="0048690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0115">
        <w:rPr>
          <w:rFonts w:ascii="Times New Roman" w:hAnsi="Times New Roman"/>
          <w:sz w:val="28"/>
          <w:szCs w:val="28"/>
        </w:rPr>
        <w:t xml:space="preserve">       </w:t>
      </w:r>
      <w:r w:rsidR="00486908" w:rsidRPr="00486908">
        <w:rPr>
          <w:rFonts w:ascii="Times New Roman" w:hAnsi="Times New Roman"/>
          <w:sz w:val="28"/>
          <w:szCs w:val="28"/>
        </w:rPr>
        <w:t xml:space="preserve">По подразделу </w:t>
      </w:r>
      <w:r w:rsidR="00486908" w:rsidRPr="00486908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="00486908" w:rsidRPr="00486908">
        <w:rPr>
          <w:rFonts w:ascii="Times New Roman" w:hAnsi="Times New Roman"/>
          <w:sz w:val="28"/>
          <w:szCs w:val="28"/>
        </w:rPr>
        <w:t xml:space="preserve">увеличение составит в сумме </w:t>
      </w:r>
      <w:r w:rsidR="00486908">
        <w:rPr>
          <w:rFonts w:ascii="Times New Roman" w:hAnsi="Times New Roman"/>
          <w:sz w:val="28"/>
          <w:szCs w:val="28"/>
        </w:rPr>
        <w:t>80,2</w:t>
      </w:r>
      <w:r w:rsidR="00680969">
        <w:rPr>
          <w:rFonts w:ascii="Times New Roman" w:hAnsi="Times New Roman"/>
          <w:sz w:val="28"/>
          <w:szCs w:val="28"/>
        </w:rPr>
        <w:t xml:space="preserve"> </w:t>
      </w:r>
      <w:r w:rsidR="00486908" w:rsidRPr="00486908">
        <w:rPr>
          <w:rFonts w:ascii="Times New Roman" w:hAnsi="Times New Roman"/>
          <w:sz w:val="28"/>
          <w:szCs w:val="28"/>
        </w:rPr>
        <w:t>тыс. рублей</w:t>
      </w:r>
      <w:r w:rsidR="0019059A">
        <w:rPr>
          <w:rFonts w:ascii="Times New Roman" w:hAnsi="Times New Roman"/>
          <w:sz w:val="28"/>
          <w:szCs w:val="28"/>
        </w:rPr>
        <w:t>, или 5,7 %</w:t>
      </w:r>
      <w:r w:rsidR="00486908" w:rsidRPr="00486908">
        <w:rPr>
          <w:rFonts w:ascii="Times New Roman" w:hAnsi="Times New Roman"/>
          <w:sz w:val="28"/>
          <w:szCs w:val="28"/>
        </w:rPr>
        <w:t xml:space="preserve"> (расходы на выплаты Главе).</w:t>
      </w:r>
    </w:p>
    <w:p w:rsidR="001F20AB" w:rsidRDefault="003C19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731A" w:rsidRPr="0046731A">
        <w:rPr>
          <w:rFonts w:ascii="Times New Roman" w:hAnsi="Times New Roman"/>
          <w:sz w:val="28"/>
          <w:szCs w:val="28"/>
        </w:rPr>
        <w:t>По разделу 05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b/>
          <w:sz w:val="28"/>
          <w:szCs w:val="28"/>
        </w:rPr>
        <w:t>«Жилищно – коммунальное хозяйство»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sz w:val="28"/>
          <w:szCs w:val="28"/>
        </w:rPr>
        <w:t>объем бюджетных ассигнований планируется у</w:t>
      </w:r>
      <w:r w:rsidR="00680969">
        <w:rPr>
          <w:rFonts w:ascii="Times New Roman" w:hAnsi="Times New Roman"/>
          <w:sz w:val="28"/>
          <w:szCs w:val="28"/>
        </w:rPr>
        <w:t xml:space="preserve">величить </w:t>
      </w:r>
      <w:r w:rsidR="0046731A" w:rsidRPr="0046731A">
        <w:rPr>
          <w:rFonts w:ascii="Times New Roman" w:hAnsi="Times New Roman"/>
          <w:sz w:val="28"/>
          <w:szCs w:val="28"/>
        </w:rPr>
        <w:t xml:space="preserve">на </w:t>
      </w:r>
      <w:r w:rsidR="00680969">
        <w:rPr>
          <w:rFonts w:ascii="Times New Roman" w:hAnsi="Times New Roman"/>
          <w:sz w:val="28"/>
          <w:szCs w:val="28"/>
        </w:rPr>
        <w:t>493,1</w:t>
      </w:r>
      <w:r w:rsidR="0046731A" w:rsidRPr="0046731A">
        <w:rPr>
          <w:rFonts w:ascii="Times New Roman" w:hAnsi="Times New Roman"/>
          <w:sz w:val="28"/>
          <w:szCs w:val="28"/>
        </w:rPr>
        <w:t xml:space="preserve"> тыс. рублей</w:t>
      </w:r>
      <w:r w:rsidR="001F20AB">
        <w:rPr>
          <w:rFonts w:ascii="Times New Roman" w:hAnsi="Times New Roman"/>
          <w:sz w:val="28"/>
          <w:szCs w:val="28"/>
        </w:rPr>
        <w:t xml:space="preserve">. </w:t>
      </w:r>
    </w:p>
    <w:p w:rsidR="00680969" w:rsidRDefault="001F20AB" w:rsidP="006809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у</w:t>
      </w:r>
      <w:r w:rsidR="00680969">
        <w:rPr>
          <w:rFonts w:ascii="Times New Roman" w:hAnsi="Times New Roman"/>
          <w:sz w:val="28"/>
          <w:szCs w:val="28"/>
        </w:rPr>
        <w:t>величатся</w:t>
      </w:r>
      <w:r>
        <w:rPr>
          <w:rFonts w:ascii="Times New Roman" w:hAnsi="Times New Roman"/>
          <w:sz w:val="28"/>
          <w:szCs w:val="28"/>
        </w:rPr>
        <w:t xml:space="preserve"> по подразделу 0503 </w:t>
      </w:r>
      <w:r w:rsidRPr="00D23B8F">
        <w:rPr>
          <w:rFonts w:ascii="Times New Roman" w:hAnsi="Times New Roman"/>
          <w:i/>
          <w:sz w:val="28"/>
          <w:szCs w:val="28"/>
        </w:rPr>
        <w:t>«Благоустройство»</w:t>
      </w:r>
      <w:r w:rsidR="00680969" w:rsidRPr="00680969">
        <w:rPr>
          <w:rFonts w:ascii="Times New Roman" w:hAnsi="Times New Roman"/>
          <w:i/>
          <w:sz w:val="28"/>
          <w:szCs w:val="28"/>
        </w:rPr>
        <w:t>:</w:t>
      </w:r>
      <w:r w:rsidR="00680969">
        <w:rPr>
          <w:rFonts w:ascii="Times New Roman" w:hAnsi="Times New Roman"/>
          <w:i/>
          <w:sz w:val="28"/>
          <w:szCs w:val="28"/>
        </w:rPr>
        <w:t xml:space="preserve"> </w:t>
      </w:r>
      <w:r w:rsidR="00680969" w:rsidRPr="00680969">
        <w:rPr>
          <w:rFonts w:ascii="Times New Roman" w:hAnsi="Times New Roman"/>
          <w:sz w:val="28"/>
          <w:szCs w:val="28"/>
        </w:rPr>
        <w:t xml:space="preserve">утверждаются расходы на благоустройство территории сельского поселения </w:t>
      </w:r>
      <w:r w:rsidR="00680969">
        <w:rPr>
          <w:rFonts w:ascii="Times New Roman" w:hAnsi="Times New Roman"/>
          <w:sz w:val="28"/>
          <w:szCs w:val="28"/>
        </w:rPr>
        <w:t>(уборка мусора) в сумме 493,1 тыс. рублей за счет поступления</w:t>
      </w:r>
      <w:r w:rsidR="00680969" w:rsidRPr="00680969">
        <w:rPr>
          <w:rFonts w:ascii="Times New Roman" w:hAnsi="Times New Roman"/>
          <w:sz w:val="28"/>
          <w:szCs w:val="28"/>
        </w:rPr>
        <w:t xml:space="preserve"> прочих безвозмездных поступлений от негосударственных организаций</w:t>
      </w:r>
      <w:r w:rsidR="00680969">
        <w:rPr>
          <w:rFonts w:ascii="Times New Roman" w:hAnsi="Times New Roman"/>
          <w:sz w:val="28"/>
          <w:szCs w:val="28"/>
        </w:rPr>
        <w:t xml:space="preserve">.  </w:t>
      </w:r>
      <w:r w:rsidR="00680969" w:rsidRPr="00680969">
        <w:rPr>
          <w:rFonts w:ascii="Times New Roman" w:hAnsi="Times New Roman"/>
          <w:sz w:val="28"/>
          <w:szCs w:val="28"/>
        </w:rPr>
        <w:t xml:space="preserve">  </w:t>
      </w:r>
      <w:r w:rsidR="00D23B8F">
        <w:rPr>
          <w:rFonts w:ascii="Times New Roman" w:hAnsi="Times New Roman"/>
          <w:sz w:val="28"/>
          <w:szCs w:val="28"/>
        </w:rPr>
        <w:t xml:space="preserve">   </w:t>
      </w:r>
    </w:p>
    <w:p w:rsidR="00680969" w:rsidRDefault="00680969" w:rsidP="006809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 результате внесенных изменений в расходную часть бюджета р</w:t>
      </w:r>
      <w:r w:rsidRPr="001003D2">
        <w:rPr>
          <w:rFonts w:ascii="Times New Roman" w:hAnsi="Times New Roman"/>
          <w:sz w:val="28"/>
          <w:szCs w:val="28"/>
        </w:rPr>
        <w:t xml:space="preserve">азмер дефицита бюджета поселения </w:t>
      </w:r>
      <w:r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>80,2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1003D2"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01.01.2024 года.     </w:t>
      </w:r>
    </w:p>
    <w:p w:rsidR="00680969" w:rsidRPr="00680969" w:rsidRDefault="00680969" w:rsidP="006809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3B8F">
        <w:rPr>
          <w:rFonts w:ascii="Times New Roman" w:hAnsi="Times New Roman"/>
          <w:sz w:val="28"/>
          <w:szCs w:val="28"/>
        </w:rPr>
        <w:t xml:space="preserve">   </w:t>
      </w:r>
      <w:r w:rsidRPr="00680969">
        <w:rPr>
          <w:rFonts w:ascii="Times New Roman" w:hAnsi="Times New Roman"/>
          <w:sz w:val="28"/>
          <w:szCs w:val="28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2024 год составит </w:t>
      </w:r>
      <w:r w:rsidR="0019059A">
        <w:rPr>
          <w:rFonts w:ascii="Times New Roman" w:hAnsi="Times New Roman"/>
          <w:sz w:val="28"/>
          <w:szCs w:val="28"/>
        </w:rPr>
        <w:t>4346,3</w:t>
      </w:r>
      <w:r w:rsidRPr="00680969">
        <w:rPr>
          <w:rFonts w:ascii="Times New Roman" w:hAnsi="Times New Roman"/>
          <w:sz w:val="28"/>
          <w:szCs w:val="28"/>
        </w:rPr>
        <w:t xml:space="preserve"> тыс. рублей, что соответствует нормативу </w:t>
      </w:r>
      <w:r w:rsidR="0019059A">
        <w:rPr>
          <w:rFonts w:ascii="Times New Roman" w:hAnsi="Times New Roman"/>
          <w:sz w:val="28"/>
          <w:szCs w:val="28"/>
        </w:rPr>
        <w:t xml:space="preserve">5421,1 </w:t>
      </w:r>
      <w:r w:rsidRPr="00680969">
        <w:rPr>
          <w:rFonts w:ascii="Times New Roman" w:hAnsi="Times New Roman"/>
          <w:sz w:val="28"/>
          <w:szCs w:val="28"/>
        </w:rPr>
        <w:t>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</w:t>
      </w:r>
      <w:r w:rsidR="0019059A">
        <w:rPr>
          <w:rFonts w:ascii="Times New Roman" w:hAnsi="Times New Roman"/>
          <w:sz w:val="28"/>
          <w:szCs w:val="28"/>
        </w:rPr>
        <w:t>30</w:t>
      </w:r>
      <w:r w:rsidRPr="00680969">
        <w:rPr>
          <w:rFonts w:ascii="Times New Roman" w:hAnsi="Times New Roman"/>
          <w:sz w:val="28"/>
          <w:szCs w:val="28"/>
        </w:rPr>
        <w:t xml:space="preserve">, применяемого к нормативу для органов местного самоуправления городских и сельских поселений, реализовавших начиная с 2009 года инициативу о преобразовании поселений области путем их объединения, с численностью населения </w:t>
      </w:r>
      <w:r w:rsidR="0019059A">
        <w:rPr>
          <w:rFonts w:ascii="Times New Roman" w:hAnsi="Times New Roman"/>
          <w:sz w:val="28"/>
          <w:szCs w:val="28"/>
        </w:rPr>
        <w:t xml:space="preserve">более </w:t>
      </w:r>
      <w:r w:rsidRPr="00680969">
        <w:rPr>
          <w:rFonts w:ascii="Times New Roman" w:hAnsi="Times New Roman"/>
          <w:sz w:val="28"/>
          <w:szCs w:val="28"/>
        </w:rPr>
        <w:t xml:space="preserve">3,5 тыс. человек. 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муниципальной программы «Благоустройство территории сельского поселения Девятинское на 2021-2025 годы» на 202</w:t>
      </w:r>
      <w:r w:rsidR="001905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Общий объем средств, направляемый на реализацию муниципальной программы, у</w:t>
      </w:r>
      <w:r w:rsidR="0019059A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9059A">
        <w:rPr>
          <w:rFonts w:ascii="Times New Roman" w:hAnsi="Times New Roman"/>
          <w:sz w:val="28"/>
          <w:szCs w:val="28"/>
        </w:rPr>
        <w:t>493,1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19059A">
        <w:rPr>
          <w:rFonts w:ascii="Times New Roman" w:hAnsi="Times New Roman"/>
          <w:sz w:val="28"/>
          <w:szCs w:val="28"/>
        </w:rPr>
        <w:t>+8,2</w:t>
      </w:r>
      <w:r w:rsidR="00D23B8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 и составит в 202</w:t>
      </w:r>
      <w:r w:rsidR="001905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9059A">
        <w:rPr>
          <w:rFonts w:ascii="Times New Roman" w:hAnsi="Times New Roman"/>
          <w:sz w:val="28"/>
          <w:szCs w:val="28"/>
        </w:rPr>
        <w:t>6022,8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9059A">
        <w:rPr>
          <w:rFonts w:ascii="Times New Roman" w:hAnsi="Times New Roman"/>
          <w:sz w:val="28"/>
          <w:szCs w:val="28"/>
        </w:rPr>
        <w:t>29,2</w:t>
      </w:r>
      <w:r w:rsidR="00D23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от общего объема расходов бюджета поселения на 202</w:t>
      </w:r>
      <w:r w:rsidR="001905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FC2292" w:rsidRDefault="00A91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Проектом решения внесены соответствующие изменения в приложения к решению от </w:t>
      </w:r>
      <w:r w:rsidR="0019059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.12.202</w:t>
      </w:r>
      <w:r w:rsidR="001905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9059A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Девятинское на 202</w:t>
      </w:r>
      <w:r w:rsidR="001905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905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905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FC2292" w:rsidRDefault="00A9156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C2292" w:rsidRDefault="00A9156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Выводы и предложения.</w:t>
      </w:r>
    </w:p>
    <w:p w:rsidR="006061FC" w:rsidRDefault="00A9156B" w:rsidP="00606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Совета сельского поселения Девятинское </w:t>
      </w:r>
      <w:r w:rsidR="0019059A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Девятинское от 23.12.2022 № 16»</w:t>
      </w:r>
      <w:r>
        <w:rPr>
          <w:rFonts w:ascii="Times New Roman" w:hAnsi="Times New Roman"/>
          <w:b/>
          <w:sz w:val="28"/>
          <w:szCs w:val="28"/>
        </w:rPr>
        <w:t xml:space="preserve">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</w:t>
      </w:r>
      <w:r w:rsidR="006061FC" w:rsidRPr="006061FC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</w:p>
    <w:p w:rsidR="006061FC" w:rsidRPr="006061FC" w:rsidRDefault="006061FC" w:rsidP="00606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61FC">
        <w:rPr>
          <w:rFonts w:ascii="Times New Roman" w:hAnsi="Times New Roman"/>
          <w:sz w:val="28"/>
          <w:szCs w:val="28"/>
        </w:rPr>
        <w:t xml:space="preserve">Ревизионная комиссия ВМР рекомендует представленный проект </w:t>
      </w:r>
      <w:r w:rsidRPr="006061F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FC2292" w:rsidRDefault="00A915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О.Е. Нестерова </w:t>
      </w:r>
    </w:p>
    <w:sectPr w:rsidR="00F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BE" w:rsidRDefault="00972DBE">
      <w:pPr>
        <w:spacing w:after="0" w:line="240" w:lineRule="auto"/>
      </w:pPr>
      <w:r>
        <w:separator/>
      </w:r>
    </w:p>
  </w:endnote>
  <w:endnote w:type="continuationSeparator" w:id="0">
    <w:p w:rsidR="00972DBE" w:rsidRDefault="0097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BE" w:rsidRDefault="00972DBE">
      <w:pPr>
        <w:spacing w:after="0" w:line="240" w:lineRule="auto"/>
      </w:pPr>
      <w:r>
        <w:separator/>
      </w:r>
    </w:p>
  </w:footnote>
  <w:footnote w:type="continuationSeparator" w:id="0">
    <w:p w:rsidR="00972DBE" w:rsidRDefault="0097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57"/>
    <w:multiLevelType w:val="hybridMultilevel"/>
    <w:tmpl w:val="DE061CC4"/>
    <w:lvl w:ilvl="0" w:tplc="D5E08C0A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90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2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6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A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2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94D"/>
    <w:multiLevelType w:val="hybridMultilevel"/>
    <w:tmpl w:val="CBD8DA42"/>
    <w:lvl w:ilvl="0" w:tplc="9C4EC43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AC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6C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2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5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5249"/>
    <w:multiLevelType w:val="hybridMultilevel"/>
    <w:tmpl w:val="F4C24B04"/>
    <w:lvl w:ilvl="0" w:tplc="563E21EC">
      <w:start w:val="1"/>
      <w:numFmt w:val="decimal"/>
      <w:lvlText w:val="%1."/>
      <w:lvlJc w:val="left"/>
      <w:pPr>
        <w:ind w:left="644" w:hanging="360"/>
      </w:pPr>
    </w:lvl>
    <w:lvl w:ilvl="1" w:tplc="C2643094">
      <w:start w:val="1"/>
      <w:numFmt w:val="decimal"/>
      <w:lvlText w:val="%2)"/>
      <w:lvlJc w:val="left"/>
      <w:pPr>
        <w:ind w:left="928" w:hanging="360"/>
      </w:pPr>
    </w:lvl>
    <w:lvl w:ilvl="2" w:tplc="F2B0D32C">
      <w:start w:val="1"/>
      <w:numFmt w:val="bullet"/>
      <w:lvlText w:val=""/>
      <w:lvlJc w:val="left"/>
      <w:pPr>
        <w:ind w:left="606" w:hanging="180"/>
      </w:pPr>
      <w:rPr>
        <w:rFonts w:ascii="Symbol" w:hAnsi="Symbol"/>
      </w:rPr>
    </w:lvl>
    <w:lvl w:ilvl="3" w:tplc="D076DDD0">
      <w:start w:val="1"/>
      <w:numFmt w:val="decimal"/>
      <w:lvlText w:val="%4."/>
      <w:lvlJc w:val="left"/>
      <w:pPr>
        <w:ind w:left="4222" w:hanging="360"/>
      </w:pPr>
    </w:lvl>
    <w:lvl w:ilvl="4" w:tplc="F8602E36">
      <w:start w:val="1"/>
      <w:numFmt w:val="lowerLetter"/>
      <w:lvlText w:val="%5."/>
      <w:lvlJc w:val="left"/>
      <w:pPr>
        <w:ind w:left="4942" w:hanging="360"/>
      </w:pPr>
    </w:lvl>
    <w:lvl w:ilvl="5" w:tplc="55D68D68">
      <w:start w:val="1"/>
      <w:numFmt w:val="lowerRoman"/>
      <w:lvlText w:val="%6."/>
      <w:lvlJc w:val="right"/>
      <w:pPr>
        <w:ind w:left="5662" w:hanging="180"/>
      </w:pPr>
    </w:lvl>
    <w:lvl w:ilvl="6" w:tplc="5E2AF196">
      <w:start w:val="1"/>
      <w:numFmt w:val="decimal"/>
      <w:lvlText w:val="%7."/>
      <w:lvlJc w:val="left"/>
      <w:pPr>
        <w:ind w:left="6382" w:hanging="360"/>
      </w:pPr>
    </w:lvl>
    <w:lvl w:ilvl="7" w:tplc="C54444DA">
      <w:start w:val="1"/>
      <w:numFmt w:val="lowerLetter"/>
      <w:lvlText w:val="%8."/>
      <w:lvlJc w:val="left"/>
      <w:pPr>
        <w:ind w:left="7102" w:hanging="360"/>
      </w:pPr>
    </w:lvl>
    <w:lvl w:ilvl="8" w:tplc="BB4A74EE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2"/>
    <w:rsid w:val="000A6571"/>
    <w:rsid w:val="00116EF0"/>
    <w:rsid w:val="0019059A"/>
    <w:rsid w:val="001F20AB"/>
    <w:rsid w:val="0022616F"/>
    <w:rsid w:val="0023595B"/>
    <w:rsid w:val="002A31C9"/>
    <w:rsid w:val="002A49D7"/>
    <w:rsid w:val="003C19C5"/>
    <w:rsid w:val="004432D6"/>
    <w:rsid w:val="00451AEB"/>
    <w:rsid w:val="0046731A"/>
    <w:rsid w:val="00486908"/>
    <w:rsid w:val="004C10AC"/>
    <w:rsid w:val="006061FC"/>
    <w:rsid w:val="00654C98"/>
    <w:rsid w:val="00680969"/>
    <w:rsid w:val="006E1BDB"/>
    <w:rsid w:val="00794032"/>
    <w:rsid w:val="00797FDD"/>
    <w:rsid w:val="008E0738"/>
    <w:rsid w:val="0095737D"/>
    <w:rsid w:val="00972DBE"/>
    <w:rsid w:val="00A20115"/>
    <w:rsid w:val="00A9156B"/>
    <w:rsid w:val="00AA096C"/>
    <w:rsid w:val="00C03192"/>
    <w:rsid w:val="00CF1B61"/>
    <w:rsid w:val="00D23B8F"/>
    <w:rsid w:val="00D51AB1"/>
    <w:rsid w:val="00DA744B"/>
    <w:rsid w:val="00E07514"/>
    <w:rsid w:val="00E774BA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80FB-844C-4768-BCCD-DC1ADF4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7284-C991-4F66-8B5E-73D3B4A1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104</cp:revision>
  <cp:lastPrinted>2023-12-15T10:38:00Z</cp:lastPrinted>
  <dcterms:created xsi:type="dcterms:W3CDTF">2018-05-17T09:59:00Z</dcterms:created>
  <dcterms:modified xsi:type="dcterms:W3CDTF">2024-03-25T11:15:00Z</dcterms:modified>
</cp:coreProperties>
</file>