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A8" w:rsidRDefault="006A3D89">
      <w:pPr>
        <w:jc w:val="center"/>
        <w:rPr>
          <w:lang w:eastAsia="ru-RU"/>
        </w:rPr>
      </w:pPr>
      <w:r w:rsidRPr="00F61F3D">
        <w:rPr>
          <w:noProof/>
          <w:lang w:eastAsia="ru-RU"/>
        </w:rPr>
        <w:drawing>
          <wp:inline distT="0" distB="0" distL="0" distR="0" wp14:anchorId="1B8D5551" wp14:editId="180EC3E5">
            <wp:extent cx="4857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8A8" w:rsidRDefault="003D1C0E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2528A8" w:rsidRDefault="003D1C0E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2528A8" w:rsidRDefault="003D1C0E">
      <w:pPr>
        <w:pStyle w:val="af3"/>
        <w:jc w:val="center"/>
      </w:pPr>
      <w:r>
        <w:t xml:space="preserve">тел. (81746) 2-22-03, факс (81746) ______,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2528A8" w:rsidRDefault="003D1C0E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4" t="34290" r="36830" b="32384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0" o:spid="_x0000_s0" style="position:absolute;left:0;text-align:left;z-index:251660288;mso-wrap-distance-left:9.0pt;mso-wrap-distance-top:0.0pt;mso-wrap-distance-right:9.0pt;mso-wrap-distance-bottom:0.0pt;visibility:visible;" from="0.0pt,13.6pt" to="491.8pt,13.6pt" filled="f" strokecolor="#000000" strokeweight="4.50pt"/>
            </w:pict>
          </mc:Fallback>
        </mc:AlternateContent>
      </w:r>
    </w:p>
    <w:p w:rsidR="002528A8" w:rsidRDefault="003D1C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2528A8" w:rsidRDefault="003D1C0E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проект решения Совета сельского поселения Алмозерское </w:t>
      </w:r>
    </w:p>
    <w:p w:rsidR="002528A8" w:rsidRDefault="005678A7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516E3">
        <w:rPr>
          <w:rFonts w:ascii="Times New Roman" w:hAnsi="Times New Roman"/>
          <w:sz w:val="28"/>
          <w:szCs w:val="28"/>
        </w:rPr>
        <w:t>0</w:t>
      </w:r>
      <w:r w:rsidR="003D1C0E">
        <w:rPr>
          <w:rFonts w:ascii="Times New Roman" w:hAnsi="Times New Roman"/>
          <w:sz w:val="28"/>
          <w:szCs w:val="28"/>
        </w:rPr>
        <w:t>.</w:t>
      </w:r>
      <w:r w:rsidR="008516E3">
        <w:rPr>
          <w:rFonts w:ascii="Times New Roman" w:hAnsi="Times New Roman"/>
          <w:sz w:val="28"/>
          <w:szCs w:val="28"/>
        </w:rPr>
        <w:t>0</w:t>
      </w:r>
      <w:r w:rsidR="00563507">
        <w:rPr>
          <w:rFonts w:ascii="Times New Roman" w:hAnsi="Times New Roman"/>
          <w:sz w:val="28"/>
          <w:szCs w:val="28"/>
        </w:rPr>
        <w:t>2</w:t>
      </w:r>
      <w:r w:rsidR="003D1C0E">
        <w:rPr>
          <w:rFonts w:ascii="Times New Roman" w:hAnsi="Times New Roman"/>
          <w:sz w:val="28"/>
          <w:szCs w:val="28"/>
        </w:rPr>
        <w:t>.202</w:t>
      </w:r>
      <w:r w:rsidR="008516E3">
        <w:rPr>
          <w:rFonts w:ascii="Times New Roman" w:hAnsi="Times New Roman"/>
          <w:sz w:val="28"/>
          <w:szCs w:val="28"/>
        </w:rPr>
        <w:t>4</w:t>
      </w:r>
      <w:r w:rsidR="003D1C0E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г. Вытегра</w:t>
      </w:r>
    </w:p>
    <w:p w:rsidR="002528A8" w:rsidRDefault="003D1C0E">
      <w:pPr>
        <w:tabs>
          <w:tab w:val="left" w:pos="567"/>
        </w:tabs>
        <w:spacing w:after="12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Совета сельского поселения Алмозерское «О внесении изменений в решение Совета сельского поселения Алмозерское от </w:t>
      </w:r>
      <w:r w:rsidR="008516E3">
        <w:rPr>
          <w:rFonts w:ascii="Times New Roman" w:hAnsi="Times New Roman"/>
          <w:sz w:val="28"/>
          <w:szCs w:val="28"/>
        </w:rPr>
        <w:t xml:space="preserve">14.12.2023 года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8516E3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Алмозерское и Представительным Собранием Вытегорского муниципального района на 202</w:t>
      </w:r>
      <w:r w:rsidR="008516E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    </w:t>
      </w:r>
      <w:r>
        <w:rPr>
          <w:sz w:val="28"/>
          <w:szCs w:val="28"/>
        </w:rPr>
        <w:t xml:space="preserve">        </w:t>
      </w:r>
    </w:p>
    <w:p w:rsidR="002528A8" w:rsidRDefault="003D1C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вносятся изменения в решение Совета сельского поселения Алмозерское от </w:t>
      </w:r>
      <w:r w:rsidR="008516E3">
        <w:rPr>
          <w:rFonts w:ascii="Times New Roman" w:hAnsi="Times New Roman"/>
          <w:sz w:val="28"/>
          <w:szCs w:val="28"/>
        </w:rPr>
        <w:t>14.12.2023 г</w:t>
      </w:r>
      <w:r>
        <w:rPr>
          <w:rFonts w:ascii="Times New Roman" w:hAnsi="Times New Roman"/>
          <w:sz w:val="28"/>
          <w:szCs w:val="28"/>
        </w:rPr>
        <w:t xml:space="preserve">ода № </w:t>
      </w:r>
      <w:r w:rsidR="008516E3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 xml:space="preserve"> «О бюджете сельского поселения Алмозерское на 202</w:t>
      </w:r>
      <w:r w:rsidR="008516E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516E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8516E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годов». </w:t>
      </w:r>
    </w:p>
    <w:p w:rsidR="002528A8" w:rsidRDefault="003D1C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предлагается внести изменения </w:t>
      </w:r>
      <w:r w:rsidR="00563507">
        <w:rPr>
          <w:rFonts w:ascii="Times New Roman" w:hAnsi="Times New Roman"/>
          <w:sz w:val="28"/>
          <w:szCs w:val="28"/>
        </w:rPr>
        <w:t>в</w:t>
      </w:r>
      <w:r w:rsidR="005678A7">
        <w:rPr>
          <w:rFonts w:ascii="Times New Roman" w:hAnsi="Times New Roman"/>
          <w:sz w:val="28"/>
          <w:szCs w:val="28"/>
        </w:rPr>
        <w:t xml:space="preserve"> </w:t>
      </w:r>
      <w:r w:rsidR="008516E3">
        <w:rPr>
          <w:rFonts w:ascii="Times New Roman" w:hAnsi="Times New Roman"/>
          <w:sz w:val="28"/>
          <w:szCs w:val="28"/>
        </w:rPr>
        <w:t>расходную ч</w:t>
      </w:r>
      <w:r>
        <w:rPr>
          <w:rFonts w:ascii="Times New Roman" w:hAnsi="Times New Roman"/>
          <w:sz w:val="28"/>
          <w:szCs w:val="28"/>
        </w:rPr>
        <w:t>аст</w:t>
      </w:r>
      <w:r w:rsidR="00563507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бюджета поселения</w:t>
      </w:r>
      <w:r w:rsidR="008516E3">
        <w:rPr>
          <w:rFonts w:ascii="Times New Roman" w:hAnsi="Times New Roman"/>
          <w:sz w:val="28"/>
          <w:szCs w:val="28"/>
        </w:rPr>
        <w:t xml:space="preserve"> </w:t>
      </w:r>
      <w:r w:rsidR="005678A7">
        <w:rPr>
          <w:rFonts w:ascii="Times New Roman" w:hAnsi="Times New Roman"/>
          <w:sz w:val="28"/>
          <w:szCs w:val="28"/>
        </w:rPr>
        <w:t>на 202</w:t>
      </w:r>
      <w:r w:rsidR="008516E3">
        <w:rPr>
          <w:rFonts w:ascii="Times New Roman" w:hAnsi="Times New Roman"/>
          <w:sz w:val="28"/>
          <w:szCs w:val="28"/>
        </w:rPr>
        <w:t>4</w:t>
      </w:r>
      <w:r w:rsidR="005678A7">
        <w:rPr>
          <w:rFonts w:ascii="Times New Roman" w:hAnsi="Times New Roman"/>
          <w:sz w:val="28"/>
          <w:szCs w:val="28"/>
        </w:rPr>
        <w:t xml:space="preserve"> год</w:t>
      </w:r>
      <w:r w:rsidR="008516E3">
        <w:rPr>
          <w:rFonts w:ascii="Times New Roman" w:hAnsi="Times New Roman"/>
          <w:sz w:val="28"/>
          <w:szCs w:val="28"/>
        </w:rPr>
        <w:t>, утвердить дефицит бюджета на 2024 год в сумме 73,5 тыс. рублей.</w:t>
      </w:r>
      <w:r>
        <w:rPr>
          <w:rFonts w:ascii="Times New Roman" w:hAnsi="Times New Roman"/>
          <w:sz w:val="28"/>
          <w:szCs w:val="28"/>
        </w:rPr>
        <w:t xml:space="preserve"> Изменения в показатели бюджета поселения на 202</w:t>
      </w:r>
      <w:r w:rsidR="008516E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приведены в таблице:</w:t>
      </w:r>
    </w:p>
    <w:p w:rsidR="00440A6B" w:rsidRPr="00440A6B" w:rsidRDefault="00440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0A6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Pr="00440A6B">
        <w:rPr>
          <w:rFonts w:ascii="Times New Roman" w:hAnsi="Times New Roman"/>
          <w:sz w:val="20"/>
          <w:szCs w:val="20"/>
        </w:rPr>
        <w:t xml:space="preserve">     (тыс. рублей)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26"/>
        <w:gridCol w:w="1677"/>
        <w:gridCol w:w="1677"/>
        <w:gridCol w:w="1259"/>
        <w:gridCol w:w="1106"/>
      </w:tblGrid>
      <w:tr w:rsidR="002528A8">
        <w:trPr>
          <w:trHeight w:val="541"/>
        </w:trPr>
        <w:tc>
          <w:tcPr>
            <w:tcW w:w="3626" w:type="dxa"/>
            <w:noWrap/>
          </w:tcPr>
          <w:p w:rsidR="002528A8" w:rsidRDefault="002528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28A8" w:rsidRDefault="002528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28A8" w:rsidRDefault="002528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</w:tcPr>
          <w:p w:rsidR="002528A8" w:rsidRDefault="003D1C0E" w:rsidP="008516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Утверждено решением о бюджете от </w:t>
            </w:r>
            <w:r w:rsidR="008516E3"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/>
                <w:sz w:val="18"/>
                <w:szCs w:val="18"/>
              </w:rPr>
              <w:t>.12.2</w:t>
            </w:r>
            <w:r w:rsidR="008516E3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 w:rsidR="008516E3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1677" w:type="dxa"/>
          </w:tcPr>
          <w:p w:rsidR="002528A8" w:rsidRDefault="003D1C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Предлагаемые проектом решения изменения</w:t>
            </w:r>
          </w:p>
        </w:tc>
        <w:tc>
          <w:tcPr>
            <w:tcW w:w="1259" w:type="dxa"/>
            <w:noWrap/>
          </w:tcPr>
          <w:p w:rsidR="002528A8" w:rsidRDefault="003D1C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Изменение</w:t>
            </w:r>
          </w:p>
        </w:tc>
        <w:tc>
          <w:tcPr>
            <w:tcW w:w="1106" w:type="dxa"/>
            <w:noWrap/>
          </w:tcPr>
          <w:p w:rsidR="002528A8" w:rsidRDefault="003D1C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 изменения</w:t>
            </w:r>
          </w:p>
        </w:tc>
      </w:tr>
      <w:tr w:rsidR="005678A7" w:rsidTr="00156F8A">
        <w:trPr>
          <w:trHeight w:val="300"/>
        </w:trPr>
        <w:tc>
          <w:tcPr>
            <w:tcW w:w="3626" w:type="dxa"/>
            <w:noWrap/>
          </w:tcPr>
          <w:p w:rsidR="005678A7" w:rsidRDefault="005678A7" w:rsidP="005678A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Доходы, всего (тыс. рублей)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78A7" w:rsidRPr="005678A7" w:rsidRDefault="008516E3" w:rsidP="008516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7469,2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78A7" w:rsidRPr="005678A7" w:rsidRDefault="008516E3" w:rsidP="008516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7469,2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78A7" w:rsidRPr="005678A7" w:rsidRDefault="008516E3" w:rsidP="008516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78A7" w:rsidRPr="005678A7" w:rsidRDefault="008516E3" w:rsidP="008516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516E3" w:rsidTr="00156F8A">
        <w:trPr>
          <w:trHeight w:val="300"/>
        </w:trPr>
        <w:tc>
          <w:tcPr>
            <w:tcW w:w="3626" w:type="dxa"/>
            <w:noWrap/>
          </w:tcPr>
          <w:p w:rsidR="008516E3" w:rsidRDefault="008516E3" w:rsidP="008516E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16E3" w:rsidRPr="005678A7" w:rsidRDefault="008516E3" w:rsidP="008516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16E3" w:rsidRPr="005678A7" w:rsidRDefault="008516E3" w:rsidP="008516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16E3" w:rsidRPr="005678A7" w:rsidRDefault="008516E3" w:rsidP="008516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78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16E3" w:rsidRPr="005678A7" w:rsidRDefault="008516E3" w:rsidP="008516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516E3" w:rsidTr="00156F8A">
        <w:trPr>
          <w:trHeight w:val="300"/>
        </w:trPr>
        <w:tc>
          <w:tcPr>
            <w:tcW w:w="3626" w:type="dxa"/>
            <w:noWrap/>
          </w:tcPr>
          <w:p w:rsidR="008516E3" w:rsidRDefault="008516E3" w:rsidP="008516E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16E3" w:rsidRPr="005678A7" w:rsidRDefault="008516E3" w:rsidP="008516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78A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069,2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16E3" w:rsidRPr="005678A7" w:rsidRDefault="008516E3" w:rsidP="008516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78A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069,2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16E3" w:rsidRPr="005678A7" w:rsidRDefault="008516E3" w:rsidP="008516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16E3" w:rsidRPr="005678A7" w:rsidRDefault="008516E3" w:rsidP="008516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2528A8">
        <w:trPr>
          <w:trHeight w:val="300"/>
        </w:trPr>
        <w:tc>
          <w:tcPr>
            <w:tcW w:w="3626" w:type="dxa"/>
            <w:noWrap/>
          </w:tcPr>
          <w:p w:rsidR="002528A8" w:rsidRDefault="003D1C0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Расходы, всего (тыс. рублей)</w:t>
            </w:r>
          </w:p>
        </w:tc>
        <w:tc>
          <w:tcPr>
            <w:tcW w:w="16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28A8" w:rsidRPr="00440A6B" w:rsidRDefault="008516E3" w:rsidP="008516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7469,2</w:t>
            </w:r>
          </w:p>
        </w:tc>
        <w:tc>
          <w:tcPr>
            <w:tcW w:w="16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28A8" w:rsidRPr="00440A6B" w:rsidRDefault="008516E3" w:rsidP="008516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7542,7</w:t>
            </w:r>
          </w:p>
        </w:tc>
        <w:tc>
          <w:tcPr>
            <w:tcW w:w="12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28A8" w:rsidRPr="00440A6B" w:rsidRDefault="008516E3" w:rsidP="005635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+ 73,5</w:t>
            </w:r>
          </w:p>
        </w:tc>
        <w:tc>
          <w:tcPr>
            <w:tcW w:w="11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28A8" w:rsidRPr="00440A6B" w:rsidRDefault="008516E3" w:rsidP="008516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+ 1,0</w:t>
            </w:r>
          </w:p>
        </w:tc>
      </w:tr>
      <w:tr w:rsidR="002528A8">
        <w:trPr>
          <w:trHeight w:val="300"/>
        </w:trPr>
        <w:tc>
          <w:tcPr>
            <w:tcW w:w="3626" w:type="dxa"/>
            <w:noWrap/>
          </w:tcPr>
          <w:p w:rsidR="002528A8" w:rsidRDefault="003D1C0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Дефицит (-), профицит (+) бюджета</w:t>
            </w:r>
          </w:p>
        </w:tc>
        <w:tc>
          <w:tcPr>
            <w:tcW w:w="1677" w:type="dxa"/>
            <w:noWrap/>
          </w:tcPr>
          <w:p w:rsidR="002528A8" w:rsidRPr="00440A6B" w:rsidRDefault="008516E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677" w:type="dxa"/>
            <w:noWrap/>
          </w:tcPr>
          <w:p w:rsidR="002528A8" w:rsidRPr="00440A6B" w:rsidRDefault="008516E3" w:rsidP="008516E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- 73,5</w:t>
            </w:r>
          </w:p>
        </w:tc>
        <w:tc>
          <w:tcPr>
            <w:tcW w:w="1259" w:type="dxa"/>
            <w:noWrap/>
          </w:tcPr>
          <w:p w:rsidR="002528A8" w:rsidRPr="00440A6B" w:rsidRDefault="00563507" w:rsidP="008516E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+</w:t>
            </w:r>
            <w:r w:rsidR="008516E3">
              <w:rPr>
                <w:rFonts w:ascii="Times New Roman" w:hAnsi="Times New Roman"/>
                <w:b/>
                <w:sz w:val="18"/>
                <w:szCs w:val="18"/>
              </w:rPr>
              <w:t>73,5</w:t>
            </w:r>
          </w:p>
        </w:tc>
        <w:tc>
          <w:tcPr>
            <w:tcW w:w="1106" w:type="dxa"/>
            <w:noWrap/>
          </w:tcPr>
          <w:p w:rsidR="002528A8" w:rsidRPr="00440A6B" w:rsidRDefault="002528A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440A6B" w:rsidRPr="00440A6B" w:rsidRDefault="003D1C0E" w:rsidP="00440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63507">
        <w:rPr>
          <w:rFonts w:ascii="Times New Roman" w:hAnsi="Times New Roman"/>
          <w:sz w:val="28"/>
          <w:szCs w:val="28"/>
        </w:rPr>
        <w:t>П</w:t>
      </w:r>
      <w:r w:rsidR="00440A6B" w:rsidRPr="00440A6B">
        <w:rPr>
          <w:rFonts w:ascii="Times New Roman" w:hAnsi="Times New Roman"/>
          <w:sz w:val="28"/>
          <w:szCs w:val="28"/>
        </w:rPr>
        <w:t xml:space="preserve">лановый объем доходов бюджета </w:t>
      </w:r>
      <w:r w:rsidR="008516E3">
        <w:rPr>
          <w:rFonts w:ascii="Times New Roman" w:hAnsi="Times New Roman"/>
          <w:sz w:val="28"/>
          <w:szCs w:val="28"/>
        </w:rPr>
        <w:t xml:space="preserve">на </w:t>
      </w:r>
      <w:r w:rsidR="00440A6B" w:rsidRPr="00440A6B">
        <w:rPr>
          <w:rFonts w:ascii="Times New Roman" w:hAnsi="Times New Roman"/>
          <w:sz w:val="28"/>
          <w:szCs w:val="28"/>
        </w:rPr>
        <w:t>202</w:t>
      </w:r>
      <w:r w:rsidR="008516E3">
        <w:rPr>
          <w:rFonts w:ascii="Times New Roman" w:hAnsi="Times New Roman"/>
          <w:sz w:val="28"/>
          <w:szCs w:val="28"/>
        </w:rPr>
        <w:t>4</w:t>
      </w:r>
      <w:r w:rsidR="00440A6B" w:rsidRPr="00440A6B">
        <w:rPr>
          <w:rFonts w:ascii="Times New Roman" w:hAnsi="Times New Roman"/>
          <w:sz w:val="28"/>
          <w:szCs w:val="28"/>
        </w:rPr>
        <w:t xml:space="preserve"> год </w:t>
      </w:r>
      <w:r w:rsidR="008516E3">
        <w:rPr>
          <w:rFonts w:ascii="Times New Roman" w:hAnsi="Times New Roman"/>
          <w:sz w:val="28"/>
          <w:szCs w:val="28"/>
        </w:rPr>
        <w:t xml:space="preserve">не изменится. </w:t>
      </w:r>
    </w:p>
    <w:p w:rsidR="008516E3" w:rsidRDefault="003D1C0E" w:rsidP="00962B4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91DCB" w:rsidRPr="00991DCB">
        <w:rPr>
          <w:rFonts w:ascii="Times New Roman" w:hAnsi="Times New Roman"/>
          <w:iCs/>
          <w:sz w:val="28"/>
          <w:szCs w:val="28"/>
        </w:rPr>
        <w:t>Р</w:t>
      </w:r>
      <w:r w:rsidR="00991DCB" w:rsidRPr="00991DCB">
        <w:rPr>
          <w:rFonts w:ascii="Times New Roman" w:hAnsi="Times New Roman"/>
          <w:sz w:val="28"/>
          <w:szCs w:val="28"/>
        </w:rPr>
        <w:t xml:space="preserve">асходная часть бюджета </w:t>
      </w:r>
      <w:r w:rsidR="008516E3">
        <w:rPr>
          <w:rFonts w:ascii="Times New Roman" w:hAnsi="Times New Roman"/>
          <w:sz w:val="28"/>
          <w:szCs w:val="28"/>
        </w:rPr>
        <w:t xml:space="preserve">увеличится на 73,5 тыс. рублей, или на 1,0 %.  </w:t>
      </w:r>
      <w:r w:rsidR="00D33B6E">
        <w:rPr>
          <w:rFonts w:ascii="Times New Roman" w:hAnsi="Times New Roman"/>
          <w:sz w:val="28"/>
          <w:szCs w:val="28"/>
        </w:rPr>
        <w:t xml:space="preserve">   </w:t>
      </w:r>
      <w:r w:rsidR="00DC4888">
        <w:rPr>
          <w:rFonts w:ascii="Times New Roman" w:hAnsi="Times New Roman"/>
          <w:sz w:val="28"/>
          <w:szCs w:val="28"/>
        </w:rPr>
        <w:t xml:space="preserve">  </w:t>
      </w:r>
      <w:r w:rsidR="00D33B6E">
        <w:rPr>
          <w:rFonts w:ascii="Times New Roman" w:hAnsi="Times New Roman"/>
          <w:sz w:val="28"/>
          <w:szCs w:val="28"/>
        </w:rPr>
        <w:t xml:space="preserve">   </w:t>
      </w:r>
    </w:p>
    <w:p w:rsidR="008516E3" w:rsidRDefault="008516E3" w:rsidP="00962B4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Проектом решения предлагается увеличить объем расходов </w:t>
      </w:r>
      <w:r w:rsidR="00BD6B37">
        <w:rPr>
          <w:rFonts w:ascii="Times New Roman" w:hAnsi="Times New Roman"/>
          <w:sz w:val="28"/>
          <w:szCs w:val="28"/>
        </w:rPr>
        <w:t xml:space="preserve">по разделу </w:t>
      </w:r>
      <w:r w:rsidR="00BD6B37" w:rsidRPr="00BD6B37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 w:rsidR="00BD6B37">
        <w:rPr>
          <w:rFonts w:ascii="Times New Roman" w:hAnsi="Times New Roman"/>
          <w:sz w:val="28"/>
          <w:szCs w:val="28"/>
        </w:rPr>
        <w:t xml:space="preserve"> на 73,5 тыс. рублей (+2,3 %), в том числе</w:t>
      </w:r>
      <w:r w:rsidR="00BD6B37" w:rsidRPr="00BD6B37">
        <w:rPr>
          <w:rFonts w:ascii="Times New Roman" w:hAnsi="Times New Roman"/>
          <w:sz w:val="28"/>
          <w:szCs w:val="28"/>
        </w:rPr>
        <w:t>:</w:t>
      </w:r>
    </w:p>
    <w:p w:rsidR="009A1253" w:rsidRDefault="00BD6B37" w:rsidP="00962B4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по подразделу </w:t>
      </w:r>
      <w:r w:rsidRPr="009A1253">
        <w:rPr>
          <w:rFonts w:ascii="Times New Roman" w:hAnsi="Times New Roman"/>
          <w:i/>
          <w:sz w:val="28"/>
          <w:szCs w:val="28"/>
        </w:rPr>
        <w:t>0102 «</w:t>
      </w:r>
      <w:r w:rsidR="009A1253" w:rsidRPr="009A1253">
        <w:rPr>
          <w:rFonts w:ascii="Times New Roman" w:hAnsi="Times New Roman"/>
          <w:i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образования»</w:t>
      </w:r>
      <w:r w:rsidR="009A1253">
        <w:rPr>
          <w:rFonts w:ascii="Times New Roman" w:hAnsi="Times New Roman"/>
          <w:i/>
          <w:sz w:val="28"/>
          <w:szCs w:val="28"/>
        </w:rPr>
        <w:t xml:space="preserve"> </w:t>
      </w:r>
      <w:r w:rsidR="009A1253" w:rsidRPr="009A1253">
        <w:rPr>
          <w:rFonts w:ascii="Times New Roman" w:hAnsi="Times New Roman"/>
          <w:sz w:val="28"/>
          <w:szCs w:val="28"/>
        </w:rPr>
        <w:t>на 72,3 тыс. рублей</w:t>
      </w:r>
      <w:r w:rsidR="009A1253">
        <w:rPr>
          <w:rFonts w:ascii="Times New Roman" w:hAnsi="Times New Roman"/>
          <w:sz w:val="28"/>
          <w:szCs w:val="28"/>
        </w:rPr>
        <w:t xml:space="preserve"> (</w:t>
      </w:r>
      <w:r w:rsidR="009A1253" w:rsidRPr="009A1253">
        <w:rPr>
          <w:rFonts w:ascii="Times New Roman" w:hAnsi="Times New Roman"/>
          <w:sz w:val="28"/>
          <w:szCs w:val="28"/>
        </w:rPr>
        <w:t>расходы на выплаты Главе</w:t>
      </w:r>
      <w:r w:rsidR="009A1253">
        <w:rPr>
          <w:rFonts w:ascii="Times New Roman" w:hAnsi="Times New Roman"/>
          <w:sz w:val="28"/>
          <w:szCs w:val="28"/>
        </w:rPr>
        <w:t>)</w:t>
      </w:r>
      <w:r w:rsidR="009A1253" w:rsidRPr="009A1253">
        <w:rPr>
          <w:rFonts w:ascii="Times New Roman" w:hAnsi="Times New Roman"/>
          <w:sz w:val="28"/>
          <w:szCs w:val="28"/>
        </w:rPr>
        <w:t>;</w:t>
      </w:r>
    </w:p>
    <w:p w:rsidR="00D33B6E" w:rsidRDefault="009A1253" w:rsidP="00962B4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Pr="009A1253">
        <w:rPr>
          <w:rFonts w:ascii="Times New Roman" w:hAnsi="Times New Roman"/>
          <w:sz w:val="28"/>
          <w:szCs w:val="28"/>
        </w:rPr>
        <w:t xml:space="preserve"> по подразделу </w:t>
      </w:r>
      <w:r w:rsidRPr="009A1253">
        <w:rPr>
          <w:rFonts w:ascii="Times New Roman" w:hAnsi="Times New Roman"/>
          <w:i/>
          <w:sz w:val="28"/>
          <w:szCs w:val="28"/>
        </w:rPr>
        <w:t>010</w:t>
      </w:r>
      <w:r>
        <w:rPr>
          <w:rFonts w:ascii="Times New Roman" w:hAnsi="Times New Roman"/>
          <w:i/>
          <w:sz w:val="28"/>
          <w:szCs w:val="28"/>
        </w:rPr>
        <w:t>4 «</w:t>
      </w:r>
      <w:r w:rsidR="00D33B6E" w:rsidRPr="00991DCB">
        <w:rPr>
          <w:rFonts w:ascii="Times New Roman" w:hAnsi="Times New Roman"/>
          <w:i/>
          <w:sz w:val="28"/>
          <w:szCs w:val="28"/>
        </w:rPr>
        <w:t xml:space="preserve">Функционирование Правительства Российской Федерации, высших исполнительных органов государственной власти </w:t>
      </w:r>
      <w:r w:rsidR="00D33B6E" w:rsidRPr="00991DCB">
        <w:rPr>
          <w:rFonts w:ascii="Times New Roman" w:hAnsi="Times New Roman"/>
          <w:i/>
          <w:sz w:val="28"/>
          <w:szCs w:val="28"/>
        </w:rPr>
        <w:lastRenderedPageBreak/>
        <w:t>субъектов Российской Федерации, местной администрации»</w:t>
      </w:r>
      <w:r w:rsidR="00D33B6E">
        <w:rPr>
          <w:rFonts w:ascii="Times New Roman" w:hAnsi="Times New Roman"/>
          <w:i/>
          <w:sz w:val="28"/>
          <w:szCs w:val="28"/>
        </w:rPr>
        <w:t xml:space="preserve"> </w:t>
      </w:r>
      <w:r w:rsidRPr="009A1253">
        <w:rPr>
          <w:rFonts w:ascii="Times New Roman" w:hAnsi="Times New Roman"/>
          <w:sz w:val="28"/>
          <w:szCs w:val="28"/>
        </w:rPr>
        <w:t xml:space="preserve">на 1,2 тыс. рублей (расходы на закупки). </w:t>
      </w:r>
    </w:p>
    <w:p w:rsidR="000D182B" w:rsidRPr="000D182B" w:rsidRDefault="009A1253" w:rsidP="000D182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A1253">
        <w:rPr>
          <w:rFonts w:ascii="Times New Roman" w:hAnsi="Times New Roman"/>
          <w:sz w:val="28"/>
          <w:szCs w:val="28"/>
        </w:rPr>
        <w:t>Объем расходов, запланированный в проекте бюджета на оплату труда выборных должностных лиц местного самоуправления, осуществляющих свои полномочия на постоянной основе, муниципальных служащих, на 202</w:t>
      </w:r>
      <w:r>
        <w:rPr>
          <w:rFonts w:ascii="Times New Roman" w:hAnsi="Times New Roman"/>
          <w:sz w:val="28"/>
          <w:szCs w:val="28"/>
        </w:rPr>
        <w:t>4</w:t>
      </w:r>
      <w:r w:rsidRPr="009A1253">
        <w:rPr>
          <w:rFonts w:ascii="Times New Roman" w:hAnsi="Times New Roman"/>
          <w:sz w:val="28"/>
          <w:szCs w:val="28"/>
        </w:rPr>
        <w:t xml:space="preserve"> год составит </w:t>
      </w:r>
      <w:r>
        <w:rPr>
          <w:rFonts w:ascii="Times New Roman" w:hAnsi="Times New Roman"/>
          <w:sz w:val="28"/>
          <w:szCs w:val="28"/>
        </w:rPr>
        <w:t>1588,7</w:t>
      </w:r>
      <w:r w:rsidRPr="009A1253">
        <w:rPr>
          <w:rFonts w:ascii="Times New Roman" w:hAnsi="Times New Roman"/>
          <w:sz w:val="28"/>
          <w:szCs w:val="28"/>
        </w:rPr>
        <w:t xml:space="preserve"> тыс. рублей, что соответствует</w:t>
      </w:r>
      <w:r w:rsidR="00611E13">
        <w:rPr>
          <w:rFonts w:ascii="Times New Roman" w:hAnsi="Times New Roman"/>
          <w:sz w:val="28"/>
          <w:szCs w:val="28"/>
        </w:rPr>
        <w:t xml:space="preserve"> нормативу</w:t>
      </w:r>
      <w:r w:rsidRPr="009A1253">
        <w:rPr>
          <w:rFonts w:ascii="Times New Roman" w:hAnsi="Times New Roman"/>
          <w:sz w:val="28"/>
          <w:szCs w:val="28"/>
        </w:rPr>
        <w:t xml:space="preserve"> </w:t>
      </w:r>
      <w:r w:rsidR="000D182B" w:rsidRPr="000D182B">
        <w:rPr>
          <w:rFonts w:ascii="Times New Roman" w:hAnsi="Times New Roman"/>
          <w:sz w:val="28"/>
          <w:szCs w:val="28"/>
        </w:rPr>
        <w:t>2</w:t>
      </w:r>
      <w:r w:rsidR="000D182B">
        <w:rPr>
          <w:rFonts w:ascii="Times New Roman" w:hAnsi="Times New Roman"/>
          <w:sz w:val="28"/>
          <w:szCs w:val="28"/>
        </w:rPr>
        <w:t xml:space="preserve">502,72 </w:t>
      </w:r>
      <w:r w:rsidR="000D182B" w:rsidRPr="000D182B">
        <w:rPr>
          <w:rFonts w:ascii="Times New Roman" w:hAnsi="Times New Roman"/>
          <w:sz w:val="28"/>
          <w:szCs w:val="28"/>
        </w:rPr>
        <w:t>тыс. рублей, установленн</w:t>
      </w:r>
      <w:r w:rsidR="00611E13">
        <w:rPr>
          <w:rFonts w:ascii="Times New Roman" w:hAnsi="Times New Roman"/>
          <w:sz w:val="28"/>
          <w:szCs w:val="28"/>
        </w:rPr>
        <w:t xml:space="preserve">ому </w:t>
      </w:r>
      <w:r w:rsidR="000D182B" w:rsidRPr="000D182B">
        <w:rPr>
          <w:rFonts w:ascii="Times New Roman" w:hAnsi="Times New Roman"/>
          <w:sz w:val="28"/>
          <w:szCs w:val="28"/>
        </w:rPr>
        <w:t>постановлением Правительства Вологодской области от 28 июля 2008 года № 1416 «Об утверждении норматива формирования расходов на оплату труда в органах местного самоуправления муниципальных образований области» (с изменениями) с учетом коэффициента 1,20, применяемого к нормативу для органов местного самоуправления городских и сельских поселений, реализовавших начиная с 2009 года инициативу о преобразовании поселений области путем их объединения, с численностью населения до 3,5 тыс. человек.</w:t>
      </w:r>
    </w:p>
    <w:p w:rsidR="009A1253" w:rsidRPr="009A1253" w:rsidRDefault="00DC4888" w:rsidP="009A125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A1253">
        <w:rPr>
          <w:rFonts w:ascii="Times New Roman" w:hAnsi="Times New Roman"/>
          <w:sz w:val="28"/>
          <w:szCs w:val="28"/>
        </w:rPr>
        <w:t xml:space="preserve">В результате внесенных изменений в расходную часть бюджета дефицит бюджета составит 73,5 тыс. рублей. </w:t>
      </w:r>
      <w:r w:rsidR="009A1253" w:rsidRPr="009A1253">
        <w:rPr>
          <w:rFonts w:ascii="Times New Roman" w:hAnsi="Times New Roman"/>
          <w:sz w:val="28"/>
          <w:szCs w:val="28"/>
        </w:rPr>
        <w:t>Утвержденный объем дефицита соответствует нормам статьи 92.1 Бюджетного кодекса Российской Федерации. Источник финансирования дефицита бюджета - изменение средств на счетах бюджета по состоянию на 01.01.202</w:t>
      </w:r>
      <w:r w:rsidR="009A1253">
        <w:rPr>
          <w:rFonts w:ascii="Times New Roman" w:hAnsi="Times New Roman"/>
          <w:sz w:val="28"/>
          <w:szCs w:val="28"/>
        </w:rPr>
        <w:t>4</w:t>
      </w:r>
      <w:r w:rsidR="009A1253" w:rsidRPr="009A1253">
        <w:rPr>
          <w:rFonts w:ascii="Times New Roman" w:hAnsi="Times New Roman"/>
          <w:sz w:val="28"/>
          <w:szCs w:val="28"/>
        </w:rPr>
        <w:t xml:space="preserve"> года.</w:t>
      </w:r>
    </w:p>
    <w:p w:rsidR="00D33B6E" w:rsidRDefault="00DC4888" w:rsidP="00962B4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Проектом решения изменения в финансирование муниципальных программ на 202</w:t>
      </w:r>
      <w:r w:rsidR="009A125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не вносились. </w:t>
      </w:r>
    </w:p>
    <w:p w:rsidR="002528A8" w:rsidRDefault="00DC4888" w:rsidP="0044558A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В</w:t>
      </w:r>
      <w:r w:rsidR="003D1C0E">
        <w:rPr>
          <w:rFonts w:ascii="Times New Roman" w:hAnsi="Times New Roman"/>
          <w:sz w:val="28"/>
          <w:szCs w:val="28"/>
        </w:rPr>
        <w:t xml:space="preserve">несены соответствующие изменения в приложения к решению от </w:t>
      </w:r>
      <w:r w:rsidR="00611E13">
        <w:rPr>
          <w:rFonts w:ascii="Times New Roman" w:hAnsi="Times New Roman"/>
          <w:sz w:val="28"/>
          <w:szCs w:val="28"/>
        </w:rPr>
        <w:t>1</w:t>
      </w:r>
      <w:r w:rsidR="00611E13" w:rsidRPr="00611E13">
        <w:rPr>
          <w:rFonts w:ascii="Times New Roman" w:hAnsi="Times New Roman"/>
          <w:sz w:val="28"/>
          <w:szCs w:val="28"/>
        </w:rPr>
        <w:t xml:space="preserve">4.12.2023 года № 58 </w:t>
      </w:r>
      <w:r w:rsidR="003D1C0E">
        <w:rPr>
          <w:rFonts w:ascii="Times New Roman" w:hAnsi="Times New Roman"/>
          <w:sz w:val="28"/>
          <w:szCs w:val="28"/>
        </w:rPr>
        <w:t>«О бюджете сельского поселения Алмозерское на 202</w:t>
      </w:r>
      <w:r w:rsidR="00611E13">
        <w:rPr>
          <w:rFonts w:ascii="Times New Roman" w:hAnsi="Times New Roman"/>
          <w:sz w:val="28"/>
          <w:szCs w:val="28"/>
        </w:rPr>
        <w:t>4</w:t>
      </w:r>
      <w:r w:rsidR="003D1C0E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11E13">
        <w:rPr>
          <w:rFonts w:ascii="Times New Roman" w:hAnsi="Times New Roman"/>
          <w:sz w:val="28"/>
          <w:szCs w:val="28"/>
        </w:rPr>
        <w:t>5</w:t>
      </w:r>
      <w:r w:rsidR="003D1C0E">
        <w:rPr>
          <w:rFonts w:ascii="Times New Roman" w:hAnsi="Times New Roman"/>
          <w:sz w:val="28"/>
          <w:szCs w:val="28"/>
        </w:rPr>
        <w:t xml:space="preserve"> и 202</w:t>
      </w:r>
      <w:r w:rsidR="00611E13">
        <w:rPr>
          <w:rFonts w:ascii="Times New Roman" w:hAnsi="Times New Roman"/>
          <w:sz w:val="28"/>
          <w:szCs w:val="28"/>
        </w:rPr>
        <w:t>6</w:t>
      </w:r>
      <w:r w:rsidR="003D1C0E">
        <w:rPr>
          <w:rFonts w:ascii="Times New Roman" w:hAnsi="Times New Roman"/>
          <w:sz w:val="28"/>
          <w:szCs w:val="28"/>
        </w:rPr>
        <w:t xml:space="preserve"> годов». </w:t>
      </w:r>
      <w:r w:rsidR="003D1C0E">
        <w:t xml:space="preserve">     </w:t>
      </w:r>
    </w:p>
    <w:p w:rsidR="002528A8" w:rsidRDefault="003D1C0E">
      <w:pPr>
        <w:tabs>
          <w:tab w:val="left" w:pos="567"/>
        </w:tabs>
        <w:spacing w:after="0" w:line="240" w:lineRule="auto"/>
        <w:jc w:val="both"/>
      </w:pPr>
      <w:r>
        <w:t xml:space="preserve">   </w:t>
      </w:r>
    </w:p>
    <w:p w:rsidR="002528A8" w:rsidRDefault="003D1C0E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Выводы и предложения</w:t>
      </w:r>
      <w:r>
        <w:rPr>
          <w:b/>
          <w:sz w:val="28"/>
          <w:szCs w:val="28"/>
        </w:rPr>
        <w:t>.</w:t>
      </w:r>
    </w:p>
    <w:p w:rsidR="00DC4888" w:rsidRPr="00DC4888" w:rsidRDefault="0044558A" w:rsidP="00DC488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C4888" w:rsidRPr="00DC4888">
        <w:rPr>
          <w:rFonts w:ascii="Times New Roman" w:hAnsi="Times New Roman"/>
          <w:sz w:val="28"/>
          <w:szCs w:val="28"/>
        </w:rPr>
        <w:t xml:space="preserve">Внесение изменений в решение о бюджете поселения является обоснованным. Представленный проект решения </w:t>
      </w:r>
      <w:r w:rsidR="00DC4888" w:rsidRPr="00DC4888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DC4888" w:rsidRPr="00DC4888">
        <w:rPr>
          <w:rFonts w:ascii="Times New Roman" w:hAnsi="Times New Roman"/>
          <w:sz w:val="28"/>
          <w:szCs w:val="28"/>
        </w:rPr>
        <w:t xml:space="preserve">требованиям бюджетного законодательства и рекомендуется </w:t>
      </w:r>
      <w:r w:rsidR="00DC4888" w:rsidRPr="00DC4888">
        <w:rPr>
          <w:rFonts w:ascii="Times New Roman" w:hAnsi="Times New Roman"/>
          <w:b/>
          <w:sz w:val="28"/>
          <w:szCs w:val="28"/>
        </w:rPr>
        <w:t>к рассмотрению.</w:t>
      </w:r>
    </w:p>
    <w:p w:rsidR="00A2183A" w:rsidRDefault="00A2183A" w:rsidP="00DC48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58A" w:rsidRDefault="004455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28A8" w:rsidRDefault="003D1C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Аудитор Ревизионной комиссии                                                   О.Е. Нестерова </w:t>
      </w:r>
    </w:p>
    <w:sectPr w:rsidR="002528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281" w:rsidRDefault="002C1281">
      <w:pPr>
        <w:spacing w:after="0" w:line="240" w:lineRule="auto"/>
      </w:pPr>
      <w:r>
        <w:separator/>
      </w:r>
    </w:p>
  </w:endnote>
  <w:endnote w:type="continuationSeparator" w:id="0">
    <w:p w:rsidR="002C1281" w:rsidRDefault="002C1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281" w:rsidRDefault="002C1281">
      <w:pPr>
        <w:spacing w:after="0" w:line="240" w:lineRule="auto"/>
      </w:pPr>
      <w:r>
        <w:separator/>
      </w:r>
    </w:p>
  </w:footnote>
  <w:footnote w:type="continuationSeparator" w:id="0">
    <w:p w:rsidR="002C1281" w:rsidRDefault="002C1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30179"/>
    <w:multiLevelType w:val="hybridMultilevel"/>
    <w:tmpl w:val="3FBC9C8C"/>
    <w:lvl w:ilvl="0" w:tplc="3F7E319C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25E73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504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F69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4E6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049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00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C6B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D04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A8"/>
    <w:rsid w:val="000032E9"/>
    <w:rsid w:val="00072EF6"/>
    <w:rsid w:val="000A1C8D"/>
    <w:rsid w:val="000D182B"/>
    <w:rsid w:val="001714D3"/>
    <w:rsid w:val="001803BF"/>
    <w:rsid w:val="001C2595"/>
    <w:rsid w:val="001C6D1F"/>
    <w:rsid w:val="002528A8"/>
    <w:rsid w:val="002C1281"/>
    <w:rsid w:val="00396D3C"/>
    <w:rsid w:val="003D1C0E"/>
    <w:rsid w:val="003E2DBB"/>
    <w:rsid w:val="00440A6B"/>
    <w:rsid w:val="0044558A"/>
    <w:rsid w:val="00500476"/>
    <w:rsid w:val="00563507"/>
    <w:rsid w:val="005678A7"/>
    <w:rsid w:val="005A4E7C"/>
    <w:rsid w:val="00611E13"/>
    <w:rsid w:val="00631307"/>
    <w:rsid w:val="006A3D89"/>
    <w:rsid w:val="006C6552"/>
    <w:rsid w:val="0084276B"/>
    <w:rsid w:val="008516E3"/>
    <w:rsid w:val="00962B4A"/>
    <w:rsid w:val="00991DCB"/>
    <w:rsid w:val="009A1253"/>
    <w:rsid w:val="00A2183A"/>
    <w:rsid w:val="00AC219B"/>
    <w:rsid w:val="00BD6B37"/>
    <w:rsid w:val="00C23129"/>
    <w:rsid w:val="00D33B6E"/>
    <w:rsid w:val="00D52C2B"/>
    <w:rsid w:val="00DC4888"/>
    <w:rsid w:val="00E610C3"/>
    <w:rsid w:val="00F7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05D82-9AB9-4774-A772-D76A8714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blk1">
    <w:name w:val="blk1"/>
    <w:basedOn w:val="a0"/>
    <w:rPr>
      <w:vanish w:val="0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Calibri" w:eastAsia="Times New Roman" w:hAnsi="Calibri" w:cs="Times New Roman"/>
      <w:b/>
      <w:bCs/>
      <w:sz w:val="20"/>
      <w:szCs w:val="20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Pr>
      <w:rFonts w:ascii="Calibri" w:eastAsia="Times New Roman" w:hAnsi="Calibri" w:cs="Times New Roman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Pr>
      <w:rFonts w:ascii="Calibri" w:eastAsia="Times New Roman" w:hAnsi="Calibri" w:cs="Times New Roman"/>
    </w:rPr>
  </w:style>
  <w:style w:type="table" w:customStyle="1" w:styleId="25">
    <w:name w:val="Сетка таблицы2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C1749-A0BD-45C7-A3A2-AD91494D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100</cp:revision>
  <cp:lastPrinted>2024-02-20T14:24:00Z</cp:lastPrinted>
  <dcterms:created xsi:type="dcterms:W3CDTF">2018-05-17T09:59:00Z</dcterms:created>
  <dcterms:modified xsi:type="dcterms:W3CDTF">2024-02-20T14:24:00Z</dcterms:modified>
</cp:coreProperties>
</file>