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bookmarkEnd w:id="0"/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Андомское </w:t>
      </w:r>
    </w:p>
    <w:p w:rsidR="00466BEB" w:rsidRDefault="00BC23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607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960739"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15.12.2023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«О бюджете сельского поселения Андомское на 2024 год и плановый период 2025 и 2026 годов».   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23B0">
        <w:rPr>
          <w:rFonts w:ascii="Times New Roman" w:hAnsi="Times New Roman"/>
          <w:sz w:val="28"/>
          <w:szCs w:val="28"/>
        </w:rPr>
        <w:t>П</w:t>
      </w:r>
      <w:r w:rsidR="00BC23B0" w:rsidRPr="00FA6888">
        <w:rPr>
          <w:rFonts w:ascii="Times New Roman" w:hAnsi="Times New Roman"/>
          <w:sz w:val="28"/>
          <w:szCs w:val="28"/>
        </w:rPr>
        <w:t xml:space="preserve">редлагается внести изменения в </w:t>
      </w:r>
      <w:r w:rsidR="00BC23B0">
        <w:rPr>
          <w:rFonts w:ascii="Times New Roman" w:hAnsi="Times New Roman"/>
          <w:sz w:val="28"/>
          <w:szCs w:val="28"/>
        </w:rPr>
        <w:t xml:space="preserve">расходную часть </w:t>
      </w:r>
      <w:r w:rsidR="00BC23B0" w:rsidRPr="00FA6888">
        <w:rPr>
          <w:rFonts w:ascii="Times New Roman" w:hAnsi="Times New Roman"/>
          <w:sz w:val="28"/>
          <w:szCs w:val="28"/>
        </w:rPr>
        <w:t>бюджета поселения</w:t>
      </w:r>
      <w:r w:rsidR="00897C04">
        <w:rPr>
          <w:rFonts w:ascii="Times New Roman" w:hAnsi="Times New Roman"/>
          <w:sz w:val="28"/>
          <w:szCs w:val="28"/>
        </w:rPr>
        <w:t xml:space="preserve"> и дефицит бюджета </w:t>
      </w:r>
      <w:r w:rsidR="00BC23B0">
        <w:rPr>
          <w:rFonts w:ascii="Times New Roman" w:hAnsi="Times New Roman"/>
          <w:sz w:val="28"/>
          <w:szCs w:val="28"/>
        </w:rPr>
        <w:t>н</w:t>
      </w:r>
      <w:r w:rsidR="00BC23B0" w:rsidRPr="00FA6888">
        <w:rPr>
          <w:rFonts w:ascii="Times New Roman" w:hAnsi="Times New Roman"/>
          <w:sz w:val="28"/>
          <w:szCs w:val="28"/>
        </w:rPr>
        <w:t>а 2024 год</w:t>
      </w:r>
      <w:r w:rsidR="00897C04">
        <w:rPr>
          <w:rFonts w:ascii="Times New Roman" w:hAnsi="Times New Roman"/>
          <w:sz w:val="28"/>
          <w:szCs w:val="28"/>
        </w:rPr>
        <w:t>.</w:t>
      </w:r>
      <w:r w:rsidR="00BC23B0" w:rsidRPr="00FA6888">
        <w:rPr>
          <w:rFonts w:ascii="Times New Roman" w:hAnsi="Times New Roman"/>
          <w:sz w:val="28"/>
          <w:szCs w:val="28"/>
        </w:rPr>
        <w:t xml:space="preserve"> Изменения в показатели бюджета поселения на 2024 год приведены в таблице:</w:t>
      </w:r>
    </w:p>
    <w:p w:rsidR="00897C04" w:rsidRPr="00897C04" w:rsidRDefault="00897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C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897C04">
        <w:rPr>
          <w:rFonts w:ascii="Times New Roman" w:hAnsi="Times New Roman"/>
          <w:sz w:val="20"/>
          <w:szCs w:val="20"/>
        </w:rPr>
        <w:t xml:space="preserve">          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466BEB" w:rsidTr="00BC23B0">
        <w:trPr>
          <w:trHeight w:val="463"/>
        </w:trPr>
        <w:tc>
          <w:tcPr>
            <w:tcW w:w="3615" w:type="dxa"/>
            <w:noWrap/>
          </w:tcPr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</w:t>
            </w:r>
            <w:r w:rsidR="00BC23B0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BC23B0" w:rsidTr="00BC23B0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15751,5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15751,5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C23B0" w:rsidTr="00BC23B0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C23B0" w:rsidTr="00BC23B0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13263,5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13263,5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C23B0" w:rsidTr="00BC23B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16434,7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16902,5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+467,8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+2,8%</w:t>
            </w:r>
          </w:p>
        </w:tc>
      </w:tr>
      <w:tr w:rsidR="00BC23B0" w:rsidTr="00BC23B0">
        <w:trPr>
          <w:trHeight w:val="86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-683,2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A20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20031">
              <w:rPr>
                <w:rFonts w:ascii="Times New Roman" w:hAnsi="Times New Roman"/>
                <w:b/>
                <w:sz w:val="20"/>
                <w:szCs w:val="20"/>
              </w:rPr>
              <w:t>1151,0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A20031" w:rsidP="00A20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+467,8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Default="00BC23B0" w:rsidP="00BC2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94C01" w:rsidRDefault="00960739" w:rsidP="00A9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4C01">
        <w:rPr>
          <w:rFonts w:ascii="Times New Roman" w:hAnsi="Times New Roman"/>
          <w:sz w:val="28"/>
          <w:szCs w:val="28"/>
        </w:rPr>
        <w:t xml:space="preserve">Доходная часть бюджета не изменится и составит 15751,5 тыс. рублей. </w:t>
      </w:r>
    </w:p>
    <w:p w:rsidR="00A94C01" w:rsidRDefault="00A94C01" w:rsidP="00A9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32E39">
        <w:rPr>
          <w:rFonts w:ascii="Times New Roman" w:hAnsi="Times New Roman"/>
          <w:iCs/>
          <w:sz w:val="28"/>
          <w:szCs w:val="28"/>
        </w:rPr>
        <w:t>Р</w:t>
      </w:r>
      <w:r w:rsidRPr="00732E39">
        <w:rPr>
          <w:rFonts w:ascii="Times New Roman" w:hAnsi="Times New Roman"/>
          <w:sz w:val="28"/>
          <w:szCs w:val="28"/>
        </w:rPr>
        <w:t>асходная часть бюджета увеличи</w:t>
      </w:r>
      <w:r>
        <w:rPr>
          <w:rFonts w:ascii="Times New Roman" w:hAnsi="Times New Roman"/>
          <w:sz w:val="28"/>
          <w:szCs w:val="28"/>
        </w:rPr>
        <w:t>тся</w:t>
      </w:r>
      <w:r w:rsidRPr="00732E3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467,8 </w:t>
      </w:r>
      <w:r w:rsidRPr="00732E39">
        <w:rPr>
          <w:rFonts w:ascii="Times New Roman" w:hAnsi="Times New Roman"/>
          <w:sz w:val="28"/>
          <w:szCs w:val="28"/>
        </w:rPr>
        <w:t>тыс. рублей (+</w:t>
      </w:r>
      <w:r>
        <w:rPr>
          <w:rFonts w:ascii="Times New Roman" w:hAnsi="Times New Roman"/>
          <w:sz w:val="28"/>
          <w:szCs w:val="28"/>
        </w:rPr>
        <w:t>2,8</w:t>
      </w:r>
      <w:r w:rsidRPr="00732E39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16902,5</w:t>
      </w:r>
      <w:r w:rsidRPr="00732E39">
        <w:rPr>
          <w:rFonts w:ascii="Times New Roman" w:hAnsi="Times New Roman"/>
          <w:sz w:val="28"/>
          <w:szCs w:val="28"/>
        </w:rPr>
        <w:t xml:space="preserve"> тыс. рублей.</w:t>
      </w:r>
      <w:r w:rsidR="00B30A0B">
        <w:rPr>
          <w:rFonts w:ascii="Times New Roman" w:hAnsi="Times New Roman"/>
          <w:sz w:val="28"/>
          <w:szCs w:val="28"/>
        </w:rPr>
        <w:t xml:space="preserve"> </w:t>
      </w:r>
      <w:r w:rsidRPr="00732E39">
        <w:rPr>
          <w:rFonts w:ascii="Times New Roman" w:hAnsi="Times New Roman"/>
          <w:sz w:val="28"/>
          <w:szCs w:val="28"/>
        </w:rPr>
        <w:t>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466BEB" w:rsidRDefault="00466B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C01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94C01" w:rsidRDefault="00A94C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C01" w:rsidRDefault="00A94C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0B" w:rsidRDefault="00960739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30A0B">
        <w:rPr>
          <w:rFonts w:ascii="Times New Roman" w:hAnsi="Times New Roman"/>
          <w:sz w:val="28"/>
          <w:szCs w:val="28"/>
        </w:rPr>
        <w:t>О</w:t>
      </w:r>
      <w:r w:rsidR="00B30A0B" w:rsidRPr="00A06074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="00B30A0B" w:rsidRPr="00A06074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B30A0B" w:rsidRPr="00A06074">
        <w:rPr>
          <w:rFonts w:ascii="Times New Roman" w:hAnsi="Times New Roman"/>
          <w:sz w:val="28"/>
          <w:szCs w:val="28"/>
        </w:rPr>
        <w:t xml:space="preserve"> </w:t>
      </w:r>
      <w:r w:rsidR="00B30A0B">
        <w:rPr>
          <w:rFonts w:ascii="Times New Roman" w:hAnsi="Times New Roman"/>
          <w:sz w:val="28"/>
          <w:szCs w:val="28"/>
        </w:rPr>
        <w:t xml:space="preserve">увеличится на 437,4 </w:t>
      </w:r>
      <w:r w:rsidR="00B30A0B" w:rsidRPr="00A06074">
        <w:rPr>
          <w:rFonts w:ascii="Times New Roman" w:hAnsi="Times New Roman"/>
          <w:sz w:val="28"/>
          <w:szCs w:val="28"/>
        </w:rPr>
        <w:t>тыс. рублей</w:t>
      </w:r>
      <w:r w:rsidR="00B30A0B">
        <w:rPr>
          <w:rFonts w:ascii="Times New Roman" w:hAnsi="Times New Roman"/>
          <w:sz w:val="28"/>
          <w:szCs w:val="28"/>
        </w:rPr>
        <w:t xml:space="preserve"> (+9,0 %). </w:t>
      </w:r>
    </w:p>
    <w:p w:rsidR="00B30A0B" w:rsidRPr="00B30A0B" w:rsidRDefault="00B30A0B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B30A0B">
        <w:rPr>
          <w:rFonts w:ascii="Times New Roman" w:hAnsi="Times New Roman"/>
          <w:sz w:val="28"/>
          <w:szCs w:val="28"/>
        </w:rPr>
        <w:t xml:space="preserve">о подразделу </w:t>
      </w:r>
      <w:r w:rsidRPr="00B30A0B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30A0B">
        <w:rPr>
          <w:rFonts w:ascii="Times New Roman" w:hAnsi="Times New Roman"/>
          <w:sz w:val="28"/>
          <w:szCs w:val="28"/>
        </w:rPr>
        <w:t>увеличение составит в сумме 133,2 тыс. рублей (расходы на выплаты Главе)</w:t>
      </w:r>
      <w:r>
        <w:rPr>
          <w:rFonts w:ascii="Times New Roman" w:hAnsi="Times New Roman"/>
          <w:sz w:val="28"/>
          <w:szCs w:val="28"/>
        </w:rPr>
        <w:t>.</w:t>
      </w:r>
    </w:p>
    <w:p w:rsidR="000703E1" w:rsidRDefault="00B30A0B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0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60739">
        <w:rPr>
          <w:rFonts w:ascii="Times New Roman" w:hAnsi="Times New Roman"/>
          <w:sz w:val="28"/>
          <w:szCs w:val="28"/>
        </w:rPr>
        <w:t xml:space="preserve">   По подразделу</w:t>
      </w:r>
      <w:r w:rsidR="00960739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960739">
        <w:rPr>
          <w:rFonts w:ascii="Times New Roman" w:hAnsi="Times New Roman"/>
          <w:sz w:val="28"/>
          <w:szCs w:val="28"/>
        </w:rPr>
        <w:t>планируется увеличить</w:t>
      </w:r>
      <w:r w:rsidR="00703BB0">
        <w:rPr>
          <w:rFonts w:ascii="Times New Roman" w:hAnsi="Times New Roman"/>
          <w:sz w:val="28"/>
          <w:szCs w:val="28"/>
        </w:rPr>
        <w:t xml:space="preserve"> расходы на </w:t>
      </w:r>
      <w:r w:rsidR="00D3318D">
        <w:rPr>
          <w:rFonts w:ascii="Times New Roman" w:hAnsi="Times New Roman"/>
          <w:sz w:val="28"/>
          <w:szCs w:val="28"/>
        </w:rPr>
        <w:t>264,6</w:t>
      </w:r>
      <w:r w:rsidR="00703BB0">
        <w:rPr>
          <w:rFonts w:ascii="Times New Roman" w:hAnsi="Times New Roman"/>
          <w:sz w:val="28"/>
          <w:szCs w:val="28"/>
        </w:rPr>
        <w:t xml:space="preserve"> тыс. рублей</w:t>
      </w:r>
      <w:r w:rsidRPr="00B30A0B">
        <w:rPr>
          <w:rFonts w:ascii="Times New Roman" w:hAnsi="Times New Roman"/>
          <w:sz w:val="28"/>
          <w:szCs w:val="28"/>
        </w:rPr>
        <w:t>:</w:t>
      </w:r>
      <w:r w:rsidR="000703E1">
        <w:rPr>
          <w:rFonts w:ascii="Times New Roman" w:hAnsi="Times New Roman"/>
          <w:sz w:val="28"/>
          <w:szCs w:val="28"/>
        </w:rPr>
        <w:t xml:space="preserve"> </w:t>
      </w:r>
    </w:p>
    <w:p w:rsidR="000703E1" w:rsidRDefault="000703E1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</w:t>
      </w:r>
      <w:r w:rsidR="00960739">
        <w:rPr>
          <w:rFonts w:ascii="Times New Roman" w:hAnsi="Times New Roman"/>
          <w:sz w:val="28"/>
          <w:szCs w:val="28"/>
        </w:rPr>
        <w:t xml:space="preserve"> </w:t>
      </w:r>
      <w:r w:rsidR="00D3318D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тыс. рублей расходы на обеспечение функций органов местного самоуправления (расходы на закупки) </w:t>
      </w:r>
      <w:r w:rsidR="00960739">
        <w:rPr>
          <w:rFonts w:ascii="Times New Roman" w:hAnsi="Times New Roman"/>
          <w:sz w:val="28"/>
          <w:szCs w:val="28"/>
        </w:rPr>
        <w:t xml:space="preserve">в рамках муниципальной программы «Комплексная программа по обеспечению мер пожарной безопасности муниципального образования сельское поселение Андомское на 2023-2027 годы» (приобретение </w:t>
      </w:r>
      <w:r>
        <w:rPr>
          <w:rFonts w:ascii="Times New Roman" w:hAnsi="Times New Roman"/>
          <w:sz w:val="28"/>
          <w:szCs w:val="28"/>
        </w:rPr>
        <w:t>огнетуш</w:t>
      </w:r>
      <w:r w:rsidR="009607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телей)</w:t>
      </w:r>
      <w:r w:rsidRPr="000703E1">
        <w:rPr>
          <w:rFonts w:ascii="Times New Roman" w:hAnsi="Times New Roman"/>
          <w:sz w:val="28"/>
          <w:szCs w:val="28"/>
        </w:rPr>
        <w:t>;</w:t>
      </w:r>
    </w:p>
    <w:p w:rsidR="00466BEB" w:rsidRDefault="000703E1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</w:t>
      </w:r>
      <w:r w:rsidR="008D0380">
        <w:rPr>
          <w:rFonts w:ascii="Times New Roman" w:hAnsi="Times New Roman"/>
          <w:sz w:val="28"/>
          <w:szCs w:val="28"/>
        </w:rPr>
        <w:t>261,6</w:t>
      </w:r>
      <w:r>
        <w:rPr>
          <w:rFonts w:ascii="Times New Roman" w:hAnsi="Times New Roman"/>
          <w:sz w:val="28"/>
          <w:szCs w:val="28"/>
        </w:rPr>
        <w:t xml:space="preserve"> тыс. рублей расходы на обеспечение деятельности органов местного самоуправления, в том числе на выплаты персоналу (муниципальным служащим) – 191,6 тыс. рублей, на закупки – </w:t>
      </w:r>
      <w:r w:rsidR="008D0380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03BB0">
        <w:rPr>
          <w:rFonts w:ascii="Times New Roman" w:hAnsi="Times New Roman"/>
          <w:sz w:val="28"/>
          <w:szCs w:val="28"/>
        </w:rPr>
        <w:t xml:space="preserve"> (публикации НПА, </w:t>
      </w:r>
      <w:r w:rsidR="008D0380">
        <w:rPr>
          <w:rFonts w:ascii="Times New Roman" w:hAnsi="Times New Roman"/>
          <w:sz w:val="28"/>
          <w:szCs w:val="28"/>
        </w:rPr>
        <w:t>канцтовары)</w:t>
      </w:r>
      <w:r w:rsidR="00703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BEB" w:rsidRDefault="00703BB0" w:rsidP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D20325">
        <w:rPr>
          <w:rFonts w:ascii="Times New Roman" w:hAnsi="Times New Roman"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20325">
        <w:rPr>
          <w:rFonts w:ascii="Times New Roman" w:hAnsi="Times New Roman"/>
          <w:sz w:val="28"/>
          <w:szCs w:val="28"/>
          <w:lang w:eastAsia="ru-RU"/>
        </w:rPr>
        <w:t xml:space="preserve">расходы увеличатся на </w:t>
      </w:r>
      <w:r w:rsidR="008D0380">
        <w:rPr>
          <w:rFonts w:ascii="Times New Roman" w:hAnsi="Times New Roman"/>
          <w:sz w:val="28"/>
          <w:szCs w:val="28"/>
          <w:lang w:eastAsia="ru-RU"/>
        </w:rPr>
        <w:t xml:space="preserve">39,6 </w:t>
      </w:r>
      <w:r w:rsidRPr="00D20325">
        <w:rPr>
          <w:rFonts w:ascii="Times New Roman" w:hAnsi="Times New Roman"/>
          <w:sz w:val="28"/>
          <w:szCs w:val="28"/>
          <w:lang w:eastAsia="ru-RU"/>
        </w:rPr>
        <w:t>тыс. рублей: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утверждаются расходы на выполнение других обязательств государства</w:t>
      </w:r>
      <w:r w:rsidR="008D0380">
        <w:rPr>
          <w:rFonts w:ascii="Times New Roman" w:hAnsi="Times New Roman"/>
          <w:sz w:val="28"/>
          <w:szCs w:val="28"/>
          <w:lang w:eastAsia="ru-RU"/>
        </w:rPr>
        <w:t xml:space="preserve"> (приобретение цветов для жен участников СВО, аренда автотранспорта для выборов).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60739">
        <w:rPr>
          <w:rFonts w:ascii="Times New Roman" w:hAnsi="Times New Roman"/>
          <w:sz w:val="28"/>
          <w:szCs w:val="28"/>
        </w:rPr>
        <w:t xml:space="preserve">       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увеличение расходов по разделу </w:t>
      </w:r>
      <w:r>
        <w:rPr>
          <w:rFonts w:ascii="Times New Roman" w:hAnsi="Times New Roman"/>
          <w:b/>
          <w:sz w:val="28"/>
          <w:szCs w:val="28"/>
        </w:rPr>
        <w:t xml:space="preserve">08 «Культура, кинематография» 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2024-2028 годы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03BB0"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03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Увеличение расходов планируется по подразделу </w:t>
      </w:r>
      <w:r>
        <w:rPr>
          <w:rFonts w:ascii="Times New Roman" w:hAnsi="Times New Roman"/>
          <w:i/>
          <w:sz w:val="28"/>
          <w:szCs w:val="28"/>
        </w:rPr>
        <w:t>0801 «Культура»</w:t>
      </w:r>
      <w:r w:rsidR="00703BB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содержание учреждений культуры</w:t>
      </w:r>
      <w:r w:rsidR="00703BB0">
        <w:rPr>
          <w:rFonts w:ascii="Times New Roman" w:hAnsi="Times New Roman"/>
          <w:sz w:val="28"/>
          <w:szCs w:val="28"/>
        </w:rPr>
        <w:t xml:space="preserve"> (расходы на закупки). </w:t>
      </w:r>
    </w:p>
    <w:p w:rsidR="00703BB0" w:rsidRDefault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703BB0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BB0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увелич</w:t>
      </w:r>
      <w:r w:rsidR="001003D2">
        <w:rPr>
          <w:rFonts w:ascii="Times New Roman" w:hAnsi="Times New Roman"/>
          <w:sz w:val="28"/>
          <w:szCs w:val="28"/>
        </w:rPr>
        <w:t>атся</w:t>
      </w:r>
      <w:r>
        <w:rPr>
          <w:rFonts w:ascii="Times New Roman" w:hAnsi="Times New Roman"/>
          <w:sz w:val="28"/>
          <w:szCs w:val="28"/>
        </w:rPr>
        <w:t xml:space="preserve"> на 0,4 тыс. рублей</w:t>
      </w:r>
      <w:r w:rsidR="001003D2">
        <w:rPr>
          <w:rFonts w:ascii="Times New Roman" w:hAnsi="Times New Roman"/>
          <w:sz w:val="28"/>
          <w:szCs w:val="28"/>
        </w:rPr>
        <w:t xml:space="preserve">. Увеличение планируется по подразделу </w:t>
      </w:r>
      <w:r w:rsidR="001003D2" w:rsidRPr="001003D2">
        <w:rPr>
          <w:rFonts w:ascii="Times New Roman" w:hAnsi="Times New Roman"/>
          <w:i/>
          <w:sz w:val="28"/>
          <w:szCs w:val="28"/>
        </w:rPr>
        <w:t>1003 «Социальное обеспечение населения»</w:t>
      </w:r>
      <w:r w:rsidR="001003D2">
        <w:rPr>
          <w:rFonts w:ascii="Times New Roman" w:hAnsi="Times New Roman"/>
          <w:i/>
          <w:sz w:val="28"/>
          <w:szCs w:val="28"/>
        </w:rPr>
        <w:t xml:space="preserve"> </w:t>
      </w:r>
      <w:r w:rsidR="001003D2" w:rsidRPr="001003D2">
        <w:rPr>
          <w:rFonts w:ascii="Times New Roman" w:hAnsi="Times New Roman"/>
          <w:sz w:val="28"/>
          <w:szCs w:val="28"/>
        </w:rPr>
        <w:t xml:space="preserve">(социальные выплаты гражданам).  </w:t>
      </w:r>
      <w:r w:rsidRPr="001003D2">
        <w:rPr>
          <w:rFonts w:ascii="Times New Roman" w:hAnsi="Times New Roman"/>
          <w:sz w:val="28"/>
          <w:szCs w:val="28"/>
        </w:rPr>
        <w:t xml:space="preserve"> </w:t>
      </w:r>
    </w:p>
    <w:p w:rsidR="008D0380" w:rsidRDefault="001003D2" w:rsidP="001003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внесенных изменений в расходную часть бюджета р</w:t>
      </w:r>
      <w:r w:rsidRPr="001003D2">
        <w:rPr>
          <w:rFonts w:ascii="Times New Roman" w:hAnsi="Times New Roman"/>
          <w:sz w:val="28"/>
          <w:szCs w:val="28"/>
        </w:rPr>
        <w:t xml:space="preserve">азмер дефицита бюджета поселения </w:t>
      </w:r>
      <w:r>
        <w:rPr>
          <w:rFonts w:ascii="Times New Roman" w:hAnsi="Times New Roman"/>
          <w:sz w:val="28"/>
          <w:szCs w:val="28"/>
        </w:rPr>
        <w:t xml:space="preserve">увеличится на 467,8 тыс. рублей и составит 1151,0 тыс. рублей. </w:t>
      </w:r>
      <w:r w:rsidRPr="001003D2"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1003D2" w:rsidRPr="001003D2" w:rsidRDefault="008D0380" w:rsidP="001003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0380">
        <w:rPr>
          <w:rFonts w:ascii="Times New Roman" w:hAnsi="Times New Roman"/>
          <w:sz w:val="28"/>
          <w:szCs w:val="28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2024 год составит </w:t>
      </w:r>
      <w:r>
        <w:rPr>
          <w:rFonts w:ascii="Times New Roman" w:hAnsi="Times New Roman"/>
          <w:sz w:val="28"/>
          <w:szCs w:val="28"/>
        </w:rPr>
        <w:t>3198,2</w:t>
      </w:r>
      <w:r w:rsidRPr="008D0380">
        <w:rPr>
          <w:rFonts w:ascii="Times New Roman" w:hAnsi="Times New Roman"/>
          <w:sz w:val="28"/>
          <w:szCs w:val="28"/>
        </w:rPr>
        <w:t xml:space="preserve"> тыс. рублей, что соответствует нормативу </w:t>
      </w:r>
      <w:r w:rsidR="00450EAD">
        <w:rPr>
          <w:rFonts w:ascii="Times New Roman" w:hAnsi="Times New Roman"/>
          <w:sz w:val="28"/>
          <w:szCs w:val="28"/>
        </w:rPr>
        <w:t>3503,28</w:t>
      </w:r>
      <w:r w:rsidRPr="008D0380">
        <w:rPr>
          <w:rFonts w:ascii="Times New Roman" w:hAnsi="Times New Roman"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</w:t>
      </w:r>
      <w:r w:rsidRPr="008D0380">
        <w:rPr>
          <w:rFonts w:ascii="Times New Roman" w:hAnsi="Times New Roman"/>
          <w:sz w:val="28"/>
          <w:szCs w:val="28"/>
        </w:rPr>
        <w:lastRenderedPageBreak/>
        <w:t>применяемого к нормативу для органов местного самоуправления городских и сельских поселений, реализовавших начиная с 2009 года инициативу о преобразовании поселений области путем их объединения, с численностью населения до 3,5 тыс. человек.</w:t>
      </w:r>
      <w:r w:rsidR="001003D2" w:rsidRPr="001003D2">
        <w:rPr>
          <w:rFonts w:ascii="Times New Roman" w:hAnsi="Times New Roman"/>
          <w:sz w:val="28"/>
          <w:szCs w:val="28"/>
        </w:rPr>
        <w:t xml:space="preserve">  </w:t>
      </w:r>
    </w:p>
    <w:p w:rsidR="00466BEB" w:rsidRDefault="001003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увеличится на </w:t>
      </w:r>
      <w:r w:rsidR="0063771D">
        <w:rPr>
          <w:rFonts w:ascii="Times New Roman" w:hAnsi="Times New Roman"/>
          <w:sz w:val="28"/>
          <w:szCs w:val="28"/>
        </w:rPr>
        <w:t>33,</w:t>
      </w:r>
      <w:r w:rsidR="00450EAD">
        <w:rPr>
          <w:rFonts w:ascii="Times New Roman" w:hAnsi="Times New Roman"/>
          <w:sz w:val="28"/>
          <w:szCs w:val="28"/>
        </w:rPr>
        <w:t>4</w:t>
      </w:r>
      <w:r w:rsidR="0063771D">
        <w:rPr>
          <w:rFonts w:ascii="Times New Roman" w:hAnsi="Times New Roman"/>
          <w:sz w:val="28"/>
          <w:szCs w:val="28"/>
        </w:rPr>
        <w:t xml:space="preserve"> </w:t>
      </w:r>
      <w:r w:rsidR="00960739">
        <w:rPr>
          <w:rFonts w:ascii="Times New Roman" w:hAnsi="Times New Roman"/>
          <w:sz w:val="28"/>
          <w:szCs w:val="28"/>
        </w:rPr>
        <w:t xml:space="preserve">тыс. рублей и составит в 2024 году </w:t>
      </w:r>
      <w:r w:rsidR="0063771D">
        <w:rPr>
          <w:rFonts w:ascii="Times New Roman" w:hAnsi="Times New Roman"/>
          <w:sz w:val="28"/>
          <w:szCs w:val="28"/>
        </w:rPr>
        <w:t>11242,</w:t>
      </w:r>
      <w:r w:rsidR="00450EAD">
        <w:rPr>
          <w:rFonts w:ascii="Times New Roman" w:hAnsi="Times New Roman"/>
          <w:sz w:val="28"/>
          <w:szCs w:val="28"/>
        </w:rPr>
        <w:t>8</w:t>
      </w:r>
      <w:r w:rsidR="00960739">
        <w:rPr>
          <w:rFonts w:ascii="Times New Roman" w:hAnsi="Times New Roman"/>
          <w:sz w:val="28"/>
          <w:szCs w:val="28"/>
        </w:rPr>
        <w:t xml:space="preserve"> тыс. рублей, или </w:t>
      </w:r>
      <w:r w:rsidR="0063771D">
        <w:rPr>
          <w:rFonts w:ascii="Times New Roman" w:hAnsi="Times New Roman"/>
          <w:sz w:val="28"/>
          <w:szCs w:val="28"/>
        </w:rPr>
        <w:t>66,5</w:t>
      </w:r>
      <w:r w:rsidR="00960739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15.12.2023 года № 53 «О бюджете сельского поселения Андомское на 2024 год и плановый период 2025 и 2026 годов».       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637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</w:t>
      </w:r>
      <w:r w:rsidR="00960739">
        <w:rPr>
          <w:rFonts w:ascii="Times New Roman" w:hAnsi="Times New Roman"/>
          <w:sz w:val="28"/>
          <w:szCs w:val="28"/>
        </w:rPr>
        <w:t xml:space="preserve">евизионной комиссии                        </w:t>
      </w:r>
      <w:r w:rsidR="00391226"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BA" w:rsidRDefault="008379BA">
      <w:pPr>
        <w:spacing w:after="0" w:line="240" w:lineRule="auto"/>
      </w:pPr>
      <w:r>
        <w:separator/>
      </w:r>
    </w:p>
  </w:endnote>
  <w:endnote w:type="continuationSeparator" w:id="0">
    <w:p w:rsidR="008379BA" w:rsidRDefault="0083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BA" w:rsidRDefault="008379BA">
      <w:pPr>
        <w:spacing w:after="0" w:line="240" w:lineRule="auto"/>
      </w:pPr>
      <w:r>
        <w:separator/>
      </w:r>
    </w:p>
  </w:footnote>
  <w:footnote w:type="continuationSeparator" w:id="0">
    <w:p w:rsidR="008379BA" w:rsidRDefault="0083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0703E1"/>
    <w:rsid w:val="001003D2"/>
    <w:rsid w:val="00391226"/>
    <w:rsid w:val="00447DB6"/>
    <w:rsid w:val="00450EAD"/>
    <w:rsid w:val="00466BEB"/>
    <w:rsid w:val="005E2B0D"/>
    <w:rsid w:val="0063771D"/>
    <w:rsid w:val="00703BB0"/>
    <w:rsid w:val="008022E7"/>
    <w:rsid w:val="008379BA"/>
    <w:rsid w:val="00897C04"/>
    <w:rsid w:val="008D0380"/>
    <w:rsid w:val="00960739"/>
    <w:rsid w:val="00A20031"/>
    <w:rsid w:val="00A94C01"/>
    <w:rsid w:val="00B30A0B"/>
    <w:rsid w:val="00BC23B0"/>
    <w:rsid w:val="00D3318D"/>
    <w:rsid w:val="00F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4981-E0FB-4691-B759-F05A5B56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120</cp:revision>
  <cp:lastPrinted>2024-01-29T06:01:00Z</cp:lastPrinted>
  <dcterms:created xsi:type="dcterms:W3CDTF">2018-05-17T09:59:00Z</dcterms:created>
  <dcterms:modified xsi:type="dcterms:W3CDTF">2024-03-13T08:02:00Z</dcterms:modified>
</cp:coreProperties>
</file>