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 отсутствием муниципальных нормативных правовых актов, содержащих обязательные требования, план на 2023 год не утверждался.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2024-06-20T12:56:44Z</dcterms:modified>
</cp:coreProperties>
</file>