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октябрь 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требований к закупаемым администрацией сельского поселения Андомское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подведомственным ей казенному учреждению культуры «Онего» отдельным видам товаров, работ, услуг (в том числе предельные цены товаров, работ, услуг)»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-привести Перечень, предлагаемый к утверждению, в соответствие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с Правилами определения требований,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внести изменения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обязательный перечень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отдельных видов товаров, работ,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, установленный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Правила определения требований к закупаемым администрацией сельского поселения Андомское и подведомственными ей казенными учреждениями отдельным видам товаров, работ,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слуг (в том числе предельные цены товаров, работ, услуг) в части значений характеристик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в преамбуле проекта решения уточнить дату принятия и  наименование постановления от 09.01.19 № 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б утверждении требований к закупаемым администрацией сельского поселения Андомское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и подведомственным ей казенному учреждению культуры «Онего» отдельным видам товаров, работ, услуг (в том числе предельные цены товаров, работ, услуг)»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, правилами нормирования, утвержденными администрацией сельского поселения Андомское.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Вытегорского муниципального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Вытегорского муниципального района на 2024 год и плановый период 2025 и 2026 годов»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постановления Администрации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Вытегорского муниципального района на 2024 год и плановый период 2025 и 2026 годов»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Федеральному закону № 131- 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Положению о бюджетном процессе в Вытегорском муниципальном районе, утвержденным решением Представительного Собрания Вытегорского муниципального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айона от 1 ноября 2013 года № 6 (с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последующими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изменениями).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Ревизионная комиссия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постановления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вытегорского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Оштинское от 01.07.2021 № 47»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  <w:u w:val="none"/>
              </w:rPr>
              <w:t xml:space="preserve">   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провести антикоррупционную и правовую экспертизы проекта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Оштинское от 01.07.2021 №47».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Представленный 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Оштинское от 01.07.2021 № 47»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редставленный проект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 рассмотрению с учетом рекомендаций.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постановление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от 30.11.2020 года № 142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 определения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требований 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закупаемым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дельным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видам товаров, работ, услуг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-привести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обязательный перечень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, предлагаемый к утверждению, в соответствие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с </w:t>
            </w:r>
            <w:hyperlink w:tooltip="ОБЩИЕ ПРАВИЛА" w:anchor="P31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 xml:space="preserve">Общими правил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услуг), установленными постановлением Правительства Российской Федерации от 02 сентября 2015 г. № 926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подпункт 1.1 пункта 1 проекта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изложить в следующей редакции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«1.1 Приложение 1 изложить в редакции согласно приложению 1 к настоящему постановлению»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</w:r>
          </w:p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подпункт 1.2 пункта 1 проекта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изложить в следующей редакции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«1.2 Приложение 2 изложить в редакции согласно приложению 2 к настоящему постановлению»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постановление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от 30.11.2020 года № 142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 определения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требований 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закупаемым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дельным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видам товаров, работ, услуг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, правилами нормирования, утвержденными администрацией сельского поселения Оштинское.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 рассмотрению с учетом предложений, изложенных в заключении.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требований к закупаемым Администрацией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дельным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видам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предлагает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привести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Ведомственный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перечень в соответствие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с Правилами определения требований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-уточнить наименование товара с кодом по ОКПД    29.10.3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требований к закупаемым Администрацией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дельным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видам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требованиями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, правилами нормирования, утвержденными администрацией сельского поселения Оштинское.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 рассмотрению с учетом предложений, изложенных в заключении.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порядка осуществления ведомственного контроля в сфере закупок для обеспечения муниципальных нужд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порядка осуществления ведомственного контроля в сфере закупок для обеспечения муниципальных нужд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требованиями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нормативных затрат на обеспечение функций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разработать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Нормативные затраты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в соответствие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с Правилами определения нормативных затрат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  Проект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нормативных затрат на обеспечение функций Администрации сельского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подведомственных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азенных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требованиями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, правилами нормирования, утвержденными администрацией сельского поселения Оштинское.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 рассмотрению с учетом предложений, изложенных в заключении.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Совет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мерах поддержки арендаторов муниципального имущества в связи с частичной мобилизацией»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мерах поддержки арендаторов муниципального имущества в связи с частичной мобилизацией»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предложен к утверждению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соответствии с полномочиями, предусмотренными Федеральным законом от 6 октября 2003 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общих принципах организации местного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Положению о бюджетном процессе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ьского поселения Анненское 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Анненское от 25.07.2019 № 36 «Об утверждении требований к порядку разработки и принятия правовых актов о нормировании в сфере закупок для обеспечения муницип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альных нужд сельского Анненское, содержанию указанных актов и обеспечению их исполнения»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  Ревизионная комиссия рекомендует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пункт 13 Требований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содержащий 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бязательные сведения,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изложить в редакции,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согласно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пункт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остановлени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ных цен товаров, работ, услуг)».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 Проект постановления администрации сельского поселения 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 внесении изменений в постановление администрации сельского поселения Анненское от 25.07.2019 № 36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требований к порядку разработки и принятия правовых актов о нормировании в сфере закупок для обеспечения муниципальных нужд сельского Анненское, содержанию указанных актов и обеспечению их исполнения»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соответствует   требованиям  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нужд», общим требованиям к порядку разработки и принятия правовых актов о нормировании в сфере закупок, содержанию указанны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х актов и обеспечению их исполнения, утвержденных постановлением Правительства Российской Федерации от 18.05.2015 № 476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 прое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кт постановления к рассмотрению с учетом рекомендаций, изложенных в Заключении.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ьского поселения Анненское 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правил определения требований к отдельным видам товаров, работ, услуг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 услуг), закупаемым муниципальными органами и подведомственными им казенными  учреждениями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бюджетными учреждениями и унитарными предприятиями сельского поселения 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Проект постановления администрации сельского поселения 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правил определения требований к отдельным видам товаров, работ, услуг (в том числе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предельные цены товаров, работ, услуг), закупаемым муниципальными органами и подведомственными им казенными  учреждениями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бюджетными учреждениями и унитарными предприятиями сельского поселения Анненское»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разработан в соответствии с  требованиям  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Требованиями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, утвержденными постановлением  администрацией сельского поселения 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25.07.2019 № 36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требований к порядку разработки и принятия правовых актов о нормировании в сфере закупок для обеспечения муниципальных нужд сельского Анненское, содержанию указанных актов и обеспечению их исполнения»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 проект постановления к рассмотрению с учетом рекомендаций.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 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ьского поселения Анненское 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правил определения требований к определению нормативных затрат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обеспечение функций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муниципальных органов сельского поселения Анненское (включая подведомственные казенные учреждения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наименование проекта постановления изложить в редакции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«Об утверждении правил определения нормативных затрат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обеспечение функций муниципальных органов сельского поселения Анненское (включая подведомственные казенные учреждения)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преамбуле проекта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постановление Правительства Российской Федерации от 02.09.2015 № 926 заменить на постановление от 13.10.2014 № 1047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пункте 1 проекта постановления слова «Правила определения требований к определению» заменить словами «Правила определения»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приложении 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наименовани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и слова «Правила определения требований к определению» заменить словами «Правила определения»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пункте 1 Приложения 1 слова «нормативные затраты» заменить словами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Правила».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Проект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правил определения требований к определению нормативных затрат на обеспечение функций муниципальных органов сельского поселения Анненское (включая подведомственные казенные учреждения»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разработан в соответствии с  требованиями  Федерального закона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от 05.04.2013 № 44 - ФЗ «О контрактной системе в сфере закупок товаров, работ, услуг для обеспечения государственных и муниципальных нужд», правилами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нормирования, утвержденными администрацией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Ревизионная комиссия рекомендует проект постановления к рассмотрению с учетом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рекомендаций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, изложенных в заключении.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842"/>
        </w:trPr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осуществления части полномочий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физической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 осуществления части полномочий в сфере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осуществления части полномочий в сфере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    Ревизионная комиссия 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в пункте 2 проекта решения уточнить сумму иного межбюджетного трансферта.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передаче осуществления части полномочий в сфере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учетом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рекомендаций.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24.10.2023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в пункте 1 проекта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слова «по установлению изменению» прописать как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по установлению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изменению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», после слова «сборов» дополнить словом «поселения».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</w:t>
            </w:r>
            <w:bookmarkStart w:id="0" w:name="_GoBack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 учетом рекомендаций.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24.10.2023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полномочий по осуществлению внешнего муниципального финансового контроля на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    Ревизионная комиссия рекомендует в преамбуле проекта решения уточнить наименование Федерального закона от 07 февраля 2011 года № 6-ФЗ.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полномочий по осуществлению внешнего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октября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 октября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226»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 требованиям 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Налогового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"/>
              </w:rPr>
              <w:t xml:space="preserve"> кодекса Российской Федерации. Ревизионная комиссия ВМР рекомендует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2023-03-02T11:53:00Z</dcterms:created>
  <dcterms:modified xsi:type="dcterms:W3CDTF">2024-02-06T08:46:34Z</dcterms:modified>
</cp:coreProperties>
</file>