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lang w:eastAsia="ru-RU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7680" cy="572770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87680" cy="5727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8.40pt;height:45.1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bookmarkStart w:id="0" w:name="_GoBack"/>
      <w:r/>
      <w:bookmarkEnd w:id="0"/>
      <w:r/>
      <w:r>
        <w:rPr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РЕВИЗИОННАЯ КОМИССИЯ ВЫТЕГОРСКОГО МУНИЦИПАЛЬНОГО РАЙОНА</w:t>
      </w:r>
      <w:r>
        <w:rPr>
          <w:rFonts w:ascii="Times New Roman" w:hAnsi="Times New Roman"/>
          <w:b/>
        </w:rPr>
      </w:r>
    </w:p>
    <w:p>
      <w:pPr>
        <w:jc w:val="center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162900, Вологодская область, г. Вытегра, пр. Ленина, д.68</w:t>
      </w:r>
      <w:r>
        <w:rPr>
          <w:rFonts w:ascii="Times New Roman" w:hAnsi="Times New Roman"/>
          <w:b/>
        </w:rPr>
      </w:r>
    </w:p>
    <w:p>
      <w:pPr>
        <w:pStyle w:val="868"/>
        <w:jc w:val="center"/>
      </w:pPr>
      <w:r>
        <w:t xml:space="preserve">тел. (81746</w:t>
      </w:r>
      <w:r>
        <w:t xml:space="preserve">)  2</w:t>
      </w:r>
      <w:r>
        <w:t xml:space="preserve">-22-03</w:t>
      </w:r>
      <w:r>
        <w:t xml:space="preserve">,  факс (81746) ______,       </w:t>
      </w:r>
      <w:r>
        <w:rPr>
          <w:lang w:val="en-US"/>
        </w:rPr>
        <w:t xml:space="preserve">e</w:t>
      </w:r>
      <w:r>
        <w:t xml:space="preserve">-</w:t>
      </w:r>
      <w:r>
        <w:rPr>
          <w:lang w:val="en-US"/>
        </w:rPr>
        <w:t xml:space="preserve">mail</w:t>
      </w:r>
      <w:r>
        <w:t xml:space="preserve">: </w:t>
      </w:r>
      <w:r>
        <w:rPr>
          <w:sz w:val="20"/>
          <w:szCs w:val="20"/>
          <w:u w:val="single"/>
          <w:lang w:val="en-US"/>
        </w:rPr>
        <w:t xml:space="preserve">revkom</w:t>
      </w:r>
      <w:r>
        <w:rPr>
          <w:sz w:val="20"/>
          <w:szCs w:val="20"/>
          <w:u w:val="single"/>
        </w:rPr>
        <w:t xml:space="preserve">@</w:t>
      </w:r>
      <w:r>
        <w:rPr>
          <w:sz w:val="20"/>
          <w:szCs w:val="20"/>
          <w:u w:val="single"/>
          <w:lang w:val="en-US"/>
        </w:rPr>
        <w:t xml:space="preserve">vytegra</w:t>
      </w:r>
      <w:r>
        <w:rPr>
          <w:sz w:val="20"/>
          <w:szCs w:val="20"/>
          <w:u w:val="single"/>
        </w:rPr>
        <w:t xml:space="preserve">-</w:t>
      </w:r>
      <w:r>
        <w:rPr>
          <w:sz w:val="20"/>
          <w:szCs w:val="20"/>
          <w:u w:val="single"/>
          <w:lang w:val="en-US"/>
        </w:rPr>
        <w:t xml:space="preserve">adm</w:t>
      </w:r>
      <w:r>
        <w:rPr>
          <w:sz w:val="20"/>
          <w:szCs w:val="20"/>
          <w:u w:val="single"/>
        </w:rPr>
        <w:t xml:space="preserve">.</w:t>
      </w:r>
      <w:r>
        <w:rPr>
          <w:sz w:val="20"/>
          <w:szCs w:val="20"/>
          <w:u w:val="single"/>
          <w:lang w:val="en-US"/>
        </w:rPr>
        <w:t xml:space="preserve">ru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251660288;mso-wrap-distance-left:9.00pt;mso-wrap-distance-top:0.00pt;mso-wrap-distance-right:9.00pt;mso-wrap-distance-bottom:0.00pt;visibility:visible;" from="0.0pt,13.6pt" to="491.8pt,13.6pt" fillcolor="#FFFFFF" strokecolor="#000000" strokeweight="4.50pt"/>
            </w:pict>
          </mc:Fallback>
        </mc:AlternateContent>
      </w:r>
      <w:r>
        <w:rPr>
          <w:rFonts w:ascii="Times New Roman" w:hAnsi="Times New Roman"/>
          <w:b/>
          <w:spacing w:val="50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ЗАКЛЮЧЕНИЕ</w:t>
      </w:r>
      <w:r>
        <w:rPr>
          <w:rFonts w:ascii="Times New Roman" w:hAnsi="Times New Roman"/>
          <w:b/>
          <w:sz w:val="28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 xml:space="preserve">по результатам экспертизы проекта </w:t>
      </w:r>
      <w:r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 xml:space="preserve">постановления «О внесении изменений в </w:t>
      </w:r>
      <w:r>
        <w:rPr>
          <w:rFonts w:ascii="Times New Roman" w:hAnsi="Times New Roman"/>
          <w:b/>
          <w:sz w:val="28"/>
          <w:szCs w:val="24"/>
        </w:rPr>
        <w:t xml:space="preserve">муниципальную программу</w:t>
      </w:r>
      <w:r>
        <w:rPr>
          <w:rFonts w:ascii="Times New Roman" w:hAnsi="Times New Roman"/>
          <w:b/>
          <w:sz w:val="28"/>
          <w:szCs w:val="24"/>
        </w:rPr>
        <w:t xml:space="preserve"> «Развитие образования </w:t>
      </w:r>
      <w:r>
        <w:rPr>
          <w:rFonts w:ascii="Times New Roman" w:hAnsi="Times New Roman"/>
          <w:b/>
          <w:sz w:val="28"/>
          <w:szCs w:val="24"/>
        </w:rPr>
        <w:t xml:space="preserve">Вытегорского</w:t>
      </w:r>
      <w:r>
        <w:rPr>
          <w:rFonts w:ascii="Times New Roman" w:hAnsi="Times New Roman"/>
          <w:b/>
          <w:sz w:val="28"/>
          <w:szCs w:val="24"/>
        </w:rPr>
        <w:t xml:space="preserve"> муниципального района на 2021-2025 годы» </w:t>
      </w:r>
      <w:r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</w:r>
      <w:r>
        <w:rPr>
          <w:rFonts w:ascii="Times New Roman" w:hAnsi="Times New Roman"/>
          <w:b/>
          <w:sz w:val="28"/>
          <w:szCs w:val="24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05.12.</w:t>
      </w:r>
      <w:r>
        <w:rPr>
          <w:rFonts w:ascii="Times New Roman" w:hAnsi="Times New Roman"/>
          <w:sz w:val="28"/>
          <w:szCs w:val="24"/>
        </w:rPr>
        <w:t xml:space="preserve">202</w:t>
      </w:r>
      <w:r>
        <w:rPr>
          <w:rFonts w:ascii="Times New Roman" w:hAnsi="Times New Roman"/>
          <w:sz w:val="28"/>
          <w:szCs w:val="24"/>
        </w:rPr>
        <w:t xml:space="preserve">3</w:t>
      </w:r>
      <w:r>
        <w:rPr>
          <w:rFonts w:ascii="Times New Roman" w:hAnsi="Times New Roman"/>
          <w:sz w:val="28"/>
          <w:szCs w:val="24"/>
        </w:rPr>
        <w:t xml:space="preserve"> г.                                                                     </w:t>
      </w:r>
      <w:r>
        <w:rPr>
          <w:rFonts w:ascii="Times New Roman" w:hAnsi="Times New Roman"/>
          <w:sz w:val="28"/>
          <w:szCs w:val="24"/>
        </w:rPr>
        <w:t xml:space="preserve">               </w:t>
      </w:r>
      <w:r>
        <w:rPr>
          <w:rFonts w:ascii="Times New Roman" w:hAnsi="Times New Roman"/>
          <w:sz w:val="28"/>
          <w:szCs w:val="24"/>
        </w:rPr>
        <w:t xml:space="preserve">г. Вытегра</w:t>
      </w:r>
      <w:r>
        <w:rPr>
          <w:rFonts w:ascii="Times New Roman" w:hAnsi="Times New Roman"/>
          <w:sz w:val="28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Заключение Ревизионной комиссии </w:t>
      </w:r>
      <w:r>
        <w:rPr>
          <w:rFonts w:ascii="Times New Roman" w:hAnsi="Times New Roman"/>
          <w:sz w:val="28"/>
          <w:szCs w:val="24"/>
        </w:rPr>
        <w:t xml:space="preserve">Вытегорского</w:t>
      </w:r>
      <w:r>
        <w:rPr>
          <w:rFonts w:ascii="Times New Roman" w:hAnsi="Times New Roman"/>
          <w:sz w:val="28"/>
          <w:szCs w:val="24"/>
        </w:rPr>
        <w:t xml:space="preserve"> муниципального района на проект </w:t>
      </w:r>
      <w:r>
        <w:rPr>
          <w:rFonts w:ascii="Times New Roman" w:hAnsi="Times New Roman"/>
          <w:sz w:val="28"/>
          <w:szCs w:val="24"/>
        </w:rPr>
        <w:t xml:space="preserve">постановления Администрации </w:t>
      </w:r>
      <w:r>
        <w:rPr>
          <w:rFonts w:ascii="Times New Roman" w:hAnsi="Times New Roman"/>
          <w:sz w:val="28"/>
          <w:szCs w:val="24"/>
        </w:rPr>
        <w:t xml:space="preserve">Вытегорского</w:t>
      </w:r>
      <w:r>
        <w:rPr>
          <w:rFonts w:ascii="Times New Roman" w:hAnsi="Times New Roman"/>
          <w:sz w:val="28"/>
          <w:szCs w:val="24"/>
        </w:rPr>
        <w:t xml:space="preserve"> муниципального района «О внесении изменений в муниципальную программу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«Развитие образования </w:t>
      </w:r>
      <w:r>
        <w:rPr>
          <w:rFonts w:ascii="Times New Roman" w:hAnsi="Times New Roman"/>
          <w:sz w:val="28"/>
          <w:szCs w:val="24"/>
        </w:rPr>
        <w:t xml:space="preserve">Вытегорского</w:t>
      </w:r>
      <w:r>
        <w:rPr>
          <w:rFonts w:ascii="Times New Roman" w:hAnsi="Times New Roman"/>
          <w:sz w:val="28"/>
          <w:szCs w:val="24"/>
        </w:rPr>
        <w:t xml:space="preserve"> муниципального района на 2021-2025 годы</w:t>
      </w:r>
      <w:r>
        <w:rPr>
          <w:rFonts w:ascii="Times New Roman" w:hAnsi="Times New Roman"/>
          <w:sz w:val="28"/>
          <w:szCs w:val="24"/>
        </w:rPr>
        <w:t xml:space="preserve">»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подготовлено в соответствии с требованиями Бюджетного кодекса Российской Федерации, Положения о Ревизионной комиссии </w:t>
      </w:r>
      <w:r>
        <w:rPr>
          <w:rFonts w:ascii="Times New Roman" w:hAnsi="Times New Roman"/>
          <w:sz w:val="28"/>
          <w:szCs w:val="24"/>
        </w:rPr>
        <w:t xml:space="preserve">Вытегорского</w:t>
      </w:r>
      <w:r>
        <w:rPr>
          <w:rFonts w:ascii="Times New Roman" w:hAnsi="Times New Roman"/>
          <w:sz w:val="28"/>
          <w:szCs w:val="24"/>
        </w:rPr>
        <w:t xml:space="preserve"> муниципального района.   </w:t>
      </w:r>
      <w:r>
        <w:rPr>
          <w:rFonts w:ascii="Times New Roman" w:hAnsi="Times New Roman"/>
          <w:sz w:val="28"/>
          <w:szCs w:val="24"/>
        </w:rPr>
      </w:r>
    </w:p>
    <w:p>
      <w:pPr>
        <w:pStyle w:val="873"/>
        <w:numPr>
          <w:ilvl w:val="0"/>
          <w:numId w:val="5"/>
        </w:numPr>
        <w:ind w:left="0" w:firstLine="360"/>
        <w:jc w:val="both"/>
        <w:spacing w:after="0" w:line="252" w:lineRule="atLeast"/>
        <w:shd w:val="clear" w:color="auto" w:fill="ffffff"/>
        <w:rPr>
          <w:rFonts w:ascii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 xml:space="preserve">Основание для проведения экспертизы: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 пункт 2 статьи 157 Бюджетного кодекса Р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оссийской Федерации, пункт 7 части 2 статьи 9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Ревизионной комиссии 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Вытегорского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муниципального района, утвержденное Решением Представительного Собрания 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Вытегор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ского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муниципального района № 660 от 28.06.2023 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г.  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</w:r>
    </w:p>
    <w:p>
      <w:pPr>
        <w:pStyle w:val="873"/>
        <w:numPr>
          <w:ilvl w:val="0"/>
          <w:numId w:val="5"/>
        </w:numPr>
        <w:ind w:left="0" w:firstLine="360"/>
        <w:jc w:val="both"/>
        <w:spacing w:after="0" w:line="252" w:lineRule="atLeast"/>
        <w:shd w:val="clear" w:color="auto" w:fill="ffffff"/>
        <w:rPr>
          <w:rFonts w:ascii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 xml:space="preserve">Цель экспертизы:</w:t>
      </w:r>
      <w:r>
        <w:rPr>
          <w:rFonts w:ascii="Times New Roman" w:hAnsi="Times New Roman"/>
          <w:color w:val="000000"/>
          <w:sz w:val="32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</w:r>
    </w:p>
    <w:p>
      <w:pPr>
        <w:jc w:val="both"/>
        <w:spacing w:after="0" w:line="252" w:lineRule="atLeast"/>
        <w:shd w:val="clear" w:color="auto" w:fill="ffffff"/>
        <w:rPr>
          <w:rFonts w:ascii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</w:rPr>
        <w:t xml:space="preserve">-подтверждение 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полномочий по устан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овлению (изменению) расходного обязательства, подтверждение обоснованности размера расходного обязательства, установление экономических последствий принятия нового либо изменения действующего расходного обязательства для бюджета муниципального образования.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</w:r>
      <w:r>
        <w:rPr>
          <w:rFonts w:ascii="Times New Roman" w:hAnsi="Times New Roman"/>
          <w:color w:val="000000"/>
          <w:sz w:val="28"/>
          <w:szCs w:val="24"/>
          <w:lang w:eastAsia="ru-RU"/>
        </w:rPr>
      </w:r>
    </w:p>
    <w:p>
      <w:pPr>
        <w:pStyle w:val="873"/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Основными задачами экспертизы</w:t>
      </w:r>
      <w:r>
        <w:rPr>
          <w:rFonts w:ascii="Times New Roman" w:hAnsi="Times New Roman"/>
          <w:sz w:val="28"/>
          <w:szCs w:val="24"/>
        </w:rPr>
        <w:t xml:space="preserve"> являются:</w:t>
      </w:r>
      <w:r>
        <w:rPr>
          <w:rFonts w:ascii="Times New Roman" w:hAnsi="Times New Roman"/>
          <w:sz w:val="28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-анализ системы финансирования, оценки эффективности и контроля муниципальной программы.</w:t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pStyle w:val="873"/>
        <w:numPr>
          <w:ilvl w:val="0"/>
          <w:numId w:val="5"/>
        </w:numPr>
        <w:ind w:left="0" w:firstLine="426"/>
        <w:jc w:val="both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Предметом экспертизы</w:t>
      </w:r>
      <w:r>
        <w:rPr>
          <w:rFonts w:ascii="Times New Roman" w:hAnsi="Times New Roman"/>
          <w:sz w:val="28"/>
          <w:szCs w:val="24"/>
        </w:rPr>
        <w:t xml:space="preserve"> является проект </w:t>
      </w:r>
      <w:r>
        <w:rPr>
          <w:rFonts w:ascii="Times New Roman" w:hAnsi="Times New Roman"/>
          <w:sz w:val="28"/>
          <w:szCs w:val="24"/>
        </w:rPr>
        <w:t xml:space="preserve">постановления о внесении изменений в муниципальную программу</w:t>
      </w:r>
      <w:r>
        <w:rPr>
          <w:rFonts w:ascii="Times New Roman" w:hAnsi="Times New Roman"/>
          <w:sz w:val="28"/>
          <w:szCs w:val="24"/>
        </w:rPr>
        <w:t xml:space="preserve">, а также расчеты финансовых ресурсов и обоснования программных мероприятий.</w:t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pStyle w:val="873"/>
        <w:numPr>
          <w:ilvl w:val="0"/>
          <w:numId w:val="5"/>
        </w:numPr>
        <w:ind w:left="0" w:firstLine="360"/>
        <w:jc w:val="both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Объектом экспертизы</w:t>
      </w:r>
      <w:r>
        <w:rPr>
          <w:rFonts w:ascii="Times New Roman" w:hAnsi="Times New Roman"/>
          <w:sz w:val="28"/>
          <w:szCs w:val="24"/>
        </w:rPr>
        <w:t xml:space="preserve"> является: ответственный исполнитель муниципальной программы – Администрация </w:t>
      </w:r>
      <w:r>
        <w:rPr>
          <w:rFonts w:ascii="Times New Roman" w:hAnsi="Times New Roman"/>
          <w:sz w:val="28"/>
          <w:szCs w:val="24"/>
        </w:rPr>
        <w:t xml:space="preserve">Вытегорского</w:t>
      </w:r>
      <w:r>
        <w:rPr>
          <w:rFonts w:ascii="Times New Roman" w:hAnsi="Times New Roman"/>
          <w:sz w:val="28"/>
          <w:szCs w:val="24"/>
        </w:rPr>
        <w:t xml:space="preserve"> муниципального района</w:t>
      </w:r>
      <w:r>
        <w:rPr>
          <w:rFonts w:ascii="Times New Roman" w:hAnsi="Times New Roman"/>
          <w:sz w:val="28"/>
          <w:szCs w:val="24"/>
        </w:rPr>
        <w:t xml:space="preserve"> (управление образования Администрации </w:t>
      </w:r>
      <w:r>
        <w:rPr>
          <w:rFonts w:ascii="Times New Roman" w:hAnsi="Times New Roman"/>
          <w:sz w:val="28"/>
          <w:szCs w:val="24"/>
        </w:rPr>
        <w:t xml:space="preserve">Вытегорского</w:t>
      </w:r>
      <w:r>
        <w:rPr>
          <w:rFonts w:ascii="Times New Roman" w:hAnsi="Times New Roman"/>
          <w:sz w:val="28"/>
          <w:szCs w:val="24"/>
        </w:rPr>
        <w:t xml:space="preserve"> муниципального района)</w:t>
      </w:r>
      <w:r>
        <w:rPr>
          <w:rFonts w:ascii="Times New Roman" w:hAnsi="Times New Roman"/>
          <w:sz w:val="28"/>
          <w:szCs w:val="24"/>
        </w:rPr>
        <w:t xml:space="preserve">.</w:t>
      </w:r>
      <w:r>
        <w:rPr>
          <w:rFonts w:ascii="Times New Roman" w:hAnsi="Times New Roman"/>
          <w:sz w:val="28"/>
          <w:szCs w:val="24"/>
        </w:rPr>
      </w:r>
    </w:p>
    <w:p>
      <w:pPr>
        <w:ind w:firstLine="426"/>
        <w:jc w:val="both"/>
        <w:spacing w:after="0" w:line="252" w:lineRule="atLeast"/>
        <w:shd w:val="clear" w:color="auto" w:fill="ffffff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 xml:space="preserve">6.</w:t>
      </w:r>
      <w:r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 xml:space="preserve"> Порядок проведения экспертизы: </w:t>
      </w:r>
      <w:r>
        <w:rPr>
          <w:rFonts w:ascii="Times New Roman" w:hAnsi="Times New Roman"/>
          <w:sz w:val="28"/>
          <w:szCs w:val="24"/>
          <w:lang w:eastAsia="ru-RU"/>
        </w:rPr>
        <w:t xml:space="preserve"> экспертиза проекта нормативно – правового акта муниципальной программы  осуществлялась с учетом предусмотренного  порядка, разработки,</w:t>
      </w:r>
      <w:r>
        <w:rPr>
          <w:rFonts w:ascii="Times New Roman" w:hAnsi="Times New Roman"/>
          <w:sz w:val="28"/>
          <w:szCs w:val="24"/>
          <w:lang w:eastAsia="ru-RU"/>
        </w:rPr>
        <w:t xml:space="preserve"> реализации и оценки эффективности реализации муниципальных программ </w:t>
      </w:r>
      <w:r>
        <w:rPr>
          <w:rFonts w:ascii="Times New Roman" w:hAnsi="Times New Roman"/>
          <w:sz w:val="28"/>
          <w:szCs w:val="24"/>
          <w:lang w:eastAsia="ru-RU"/>
        </w:rPr>
        <w:t xml:space="preserve">Вытегорского</w:t>
      </w:r>
      <w:r>
        <w:rPr>
          <w:rFonts w:ascii="Times New Roman" w:hAnsi="Times New Roman"/>
          <w:sz w:val="28"/>
          <w:szCs w:val="24"/>
          <w:lang w:eastAsia="ru-RU"/>
        </w:rPr>
        <w:t xml:space="preserve"> муниципального района, утвержденного постановлением</w:t>
      </w:r>
      <w:r>
        <w:rPr>
          <w:rFonts w:ascii="Times New Roman" w:hAnsi="Times New Roman"/>
          <w:sz w:val="28"/>
          <w:szCs w:val="24"/>
          <w:lang w:eastAsia="ru-RU"/>
        </w:rPr>
        <w:t xml:space="preserve"> Администрации </w:t>
      </w:r>
      <w:r>
        <w:rPr>
          <w:rFonts w:ascii="Times New Roman" w:hAnsi="Times New Roman"/>
          <w:sz w:val="28"/>
          <w:szCs w:val="24"/>
          <w:lang w:eastAsia="ru-RU"/>
        </w:rPr>
        <w:t xml:space="preserve">Вытегорского</w:t>
      </w:r>
      <w:r>
        <w:rPr>
          <w:rFonts w:ascii="Times New Roman" w:hAnsi="Times New Roman"/>
          <w:sz w:val="28"/>
          <w:szCs w:val="24"/>
          <w:lang w:eastAsia="ru-RU"/>
        </w:rPr>
        <w:t xml:space="preserve"> муниципального района </w:t>
      </w:r>
      <w:r>
        <w:rPr>
          <w:rFonts w:ascii="Times New Roman" w:hAnsi="Times New Roman"/>
          <w:sz w:val="28"/>
          <w:szCs w:val="24"/>
          <w:lang w:eastAsia="ru-RU"/>
        </w:rPr>
        <w:t xml:space="preserve"> от 08.05.2018 </w:t>
      </w:r>
      <w:r>
        <w:rPr>
          <w:rFonts w:ascii="Times New Roman" w:hAnsi="Times New Roman"/>
          <w:sz w:val="28"/>
          <w:szCs w:val="24"/>
          <w:lang w:eastAsia="ru-RU"/>
        </w:rPr>
        <w:t xml:space="preserve"> №</w:t>
      </w:r>
      <w:r>
        <w:rPr>
          <w:rFonts w:ascii="Times New Roman" w:hAnsi="Times New Roman"/>
          <w:sz w:val="28"/>
          <w:szCs w:val="24"/>
          <w:lang w:eastAsia="ru-RU"/>
        </w:rPr>
        <w:t xml:space="preserve"> 586</w:t>
      </w:r>
      <w:r>
        <w:rPr>
          <w:rFonts w:ascii="Times New Roman" w:hAnsi="Times New Roman"/>
          <w:sz w:val="28"/>
          <w:szCs w:val="24"/>
          <w:lang w:eastAsia="ru-RU"/>
        </w:rPr>
        <w:t xml:space="preserve"> «Об утверждении порядка разработки, реализации и оценки эффективности </w:t>
      </w:r>
      <w:r>
        <w:rPr>
          <w:rFonts w:ascii="Times New Roman" w:hAnsi="Times New Roman"/>
          <w:sz w:val="28"/>
          <w:szCs w:val="24"/>
          <w:lang w:eastAsia="ru-RU"/>
        </w:rPr>
        <w:t xml:space="preserve">реализации </w:t>
      </w:r>
      <w:r>
        <w:rPr>
          <w:rFonts w:ascii="Times New Roman" w:hAnsi="Times New Roman"/>
          <w:sz w:val="28"/>
          <w:szCs w:val="24"/>
          <w:lang w:eastAsia="ru-RU"/>
        </w:rPr>
        <w:t xml:space="preserve">муниципальных программ </w:t>
      </w:r>
      <w:r>
        <w:rPr>
          <w:rFonts w:ascii="Times New Roman" w:hAnsi="Times New Roman"/>
          <w:sz w:val="28"/>
          <w:szCs w:val="24"/>
          <w:lang w:eastAsia="ru-RU"/>
        </w:rPr>
        <w:t xml:space="preserve">Вытегорского</w:t>
      </w:r>
      <w:r>
        <w:rPr>
          <w:rFonts w:ascii="Times New Roman" w:hAnsi="Times New Roman"/>
          <w:sz w:val="28"/>
          <w:szCs w:val="24"/>
          <w:lang w:eastAsia="ru-RU"/>
        </w:rPr>
        <w:t xml:space="preserve"> муниципального района», в соответствии со статьёй 179 Бюджетного кодекса Российской Федерации.</w:t>
      </w:r>
      <w:r>
        <w:rPr>
          <w:rFonts w:ascii="Times New Roman" w:hAnsi="Times New Roman"/>
          <w:sz w:val="28"/>
          <w:szCs w:val="24"/>
          <w:lang w:eastAsia="ru-RU"/>
        </w:rPr>
      </w:r>
    </w:p>
    <w:p>
      <w:pPr>
        <w:ind w:firstLine="426"/>
        <w:jc w:val="both"/>
        <w:spacing w:after="0" w:line="252" w:lineRule="atLeast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4"/>
          <w:lang w:eastAsia="ru-RU"/>
        </w:rPr>
        <w:t xml:space="preserve">7</w:t>
      </w:r>
      <w:r>
        <w:rPr>
          <w:rFonts w:ascii="Times New Roman" w:hAnsi="Times New Roman"/>
          <w:b/>
          <w:color w:val="000000"/>
          <w:sz w:val="28"/>
          <w:szCs w:val="24"/>
          <w:lang w:eastAsia="ru-RU"/>
        </w:rPr>
        <w:t xml:space="preserve">. Экспертиза проведена 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Председателем Ревизионной комиссии 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ВМР  Парфеновой И.А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.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firstLine="426"/>
        <w:jc w:val="both"/>
        <w:spacing w:after="0" w:line="252" w:lineRule="atLeast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Проект 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постановления о внесении изменений в программу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поступил в Ревизионную комиссию без 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сопроводительного письма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.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jc w:val="both"/>
        <w:spacing w:after="0" w:line="252" w:lineRule="atLeast"/>
        <w:shd w:val="clear" w:color="auto" w:fill="ffffff"/>
        <w:rPr>
          <w:rFonts w:ascii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   </w:t>
      </w:r>
      <w:r>
        <w:rPr>
          <w:rFonts w:ascii="Times New Roman" w:hAnsi="Times New Roman"/>
          <w:sz w:val="28"/>
          <w:szCs w:val="24"/>
        </w:rPr>
        <w:t xml:space="preserve">Согласно статьи</w:t>
      </w:r>
      <w:r>
        <w:rPr>
          <w:rFonts w:ascii="Times New Roman" w:hAnsi="Times New Roman" w:eastAsiaTheme="minorHAnsi"/>
          <w:bCs/>
          <w:sz w:val="28"/>
          <w:szCs w:val="24"/>
        </w:rPr>
        <w:t xml:space="preserve"> 179 Бюджетного кодекса Российской Федерации</w:t>
      </w:r>
      <w:r>
        <w:rPr>
          <w:rFonts w:ascii="Times New Roman" w:hAnsi="Times New Roman" w:eastAsiaTheme="minorHAnsi"/>
          <w:b/>
          <w:bCs/>
          <w:sz w:val="28"/>
          <w:szCs w:val="24"/>
        </w:rPr>
        <w:t xml:space="preserve"> </w:t>
      </w:r>
      <w:r>
        <w:rPr>
          <w:rFonts w:ascii="Times New Roman" w:hAnsi="Times New Roman" w:eastAsiaTheme="minorHAnsi"/>
          <w:sz w:val="28"/>
          <w:szCs w:val="24"/>
        </w:rPr>
        <w:t xml:space="preserve">муниципальные программы утверждаются местной администрацией муниципального образования.</w:t>
      </w:r>
      <w:r>
        <w:rPr>
          <w:rFonts w:ascii="Times New Roman" w:hAnsi="Times New Roman" w:eastAsiaTheme="minorHAnsi"/>
          <w:b/>
          <w:bCs/>
          <w:sz w:val="28"/>
          <w:szCs w:val="24"/>
        </w:rPr>
        <w:t xml:space="preserve"> </w:t>
      </w:r>
      <w:r>
        <w:rPr>
          <w:rFonts w:ascii="Times New Roman" w:hAnsi="Times New Roman" w:eastAsiaTheme="minorHAnsi"/>
          <w:sz w:val="28"/>
          <w:szCs w:val="24"/>
        </w:rPr>
        <w:t xml:space="preserve">Сроки реализации муниципальных программ определяются местной администрацией муниципального образования в устанавливаемом порядке.</w:t>
      </w:r>
      <w:r>
        <w:rPr>
          <w:rFonts w:ascii="Times New Roman" w:hAnsi="Times New Roman" w:eastAsiaTheme="minorHAnsi"/>
          <w:b/>
          <w:bCs/>
          <w:sz w:val="28"/>
          <w:szCs w:val="24"/>
        </w:rPr>
        <w:t xml:space="preserve"> </w:t>
      </w:r>
      <w:r>
        <w:rPr>
          <w:rFonts w:ascii="Times New Roman" w:hAnsi="Times New Roman" w:eastAsiaTheme="minorHAnsi"/>
          <w:sz w:val="28"/>
          <w:szCs w:val="24"/>
        </w:rPr>
        <w:t xml:space="preserve">Порядок принятия решений о разработке муниципальных программ, формирования и реализации устанавливается муниципальны</w:t>
      </w:r>
      <w:r>
        <w:rPr>
          <w:rFonts w:ascii="Times New Roman" w:hAnsi="Times New Roman" w:eastAsiaTheme="minorHAnsi"/>
          <w:sz w:val="28"/>
          <w:szCs w:val="24"/>
        </w:rPr>
        <w:t xml:space="preserve">м правовым актом местной администрации муниципального образования.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бюджета.</w:t>
      </w:r>
      <w:r>
        <w:rPr>
          <w:rFonts w:ascii="Times New Roman" w:hAnsi="Times New Roman" w:eastAsiaTheme="minorHAnsi"/>
          <w:b/>
          <w:bCs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</w:r>
      <w:r>
        <w:rPr>
          <w:rFonts w:ascii="Times New Roman" w:hAnsi="Times New Roman"/>
          <w:color w:val="000000"/>
          <w:sz w:val="28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Theme="minorHAnsi"/>
          <w:b/>
          <w:bCs/>
          <w:sz w:val="28"/>
          <w:szCs w:val="24"/>
        </w:rPr>
        <w:outlineLvl w:val="0"/>
      </w:pPr>
      <w:r>
        <w:rPr>
          <w:rFonts w:ascii="Times New Roman" w:hAnsi="Times New Roman" w:eastAsiaTheme="minorHAnsi"/>
          <w:sz w:val="28"/>
          <w:szCs w:val="24"/>
        </w:rPr>
        <w:t xml:space="preserve">Муниципальные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администрацией. Представительные органы му</w:t>
      </w:r>
      <w:r>
        <w:rPr>
          <w:rFonts w:ascii="Times New Roman" w:hAnsi="Times New Roman" w:eastAsiaTheme="minorHAnsi"/>
          <w:sz w:val="28"/>
          <w:szCs w:val="24"/>
        </w:rPr>
        <w:t xml:space="preserve">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  <w:r>
        <w:rPr>
          <w:rFonts w:ascii="Times New Roman" w:hAnsi="Times New Roman" w:eastAsiaTheme="minorHAnsi"/>
          <w:b/>
          <w:bCs/>
          <w:sz w:val="28"/>
          <w:szCs w:val="24"/>
        </w:rPr>
        <w:t xml:space="preserve"> </w:t>
      </w:r>
      <w:r>
        <w:rPr>
          <w:rFonts w:ascii="Times New Roman" w:hAnsi="Times New Roman" w:eastAsiaTheme="minorHAnsi"/>
          <w:sz w:val="28"/>
          <w:szCs w:val="24"/>
        </w:rPr>
        <w:t xml:space="preserve">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</w:t>
      </w:r>
      <w:r>
        <w:rPr>
          <w:rFonts w:ascii="Times New Roman" w:hAnsi="Times New Roman" w:eastAsiaTheme="minorHAnsi"/>
          <w:b/>
          <w:bCs/>
          <w:sz w:val="28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Theme="minorHAnsi"/>
          <w:sz w:val="28"/>
          <w:szCs w:val="24"/>
        </w:rPr>
      </w:pPr>
      <w:r>
        <w:rPr>
          <w:rFonts w:ascii="Times New Roman" w:hAnsi="Times New Roman" w:eastAsiaTheme="minorHAnsi"/>
          <w:sz w:val="28"/>
          <w:szCs w:val="24"/>
        </w:rPr>
        <w:t xml:space="preserve">         </w:t>
      </w:r>
      <w:r>
        <w:rPr>
          <w:rFonts w:ascii="Times New Roman" w:hAnsi="Times New Roman" w:eastAsiaTheme="minorHAnsi"/>
          <w:sz w:val="28"/>
          <w:szCs w:val="24"/>
        </w:rPr>
        <w:t xml:space="preserve">В целях реализации положений статьи 179 Бюджетного Кодекса Российской Федерации принято постановление Администрации </w:t>
      </w:r>
      <w:r>
        <w:rPr>
          <w:rFonts w:ascii="Times New Roman" w:hAnsi="Times New Roman" w:eastAsiaTheme="minorHAnsi"/>
          <w:sz w:val="28"/>
          <w:szCs w:val="24"/>
        </w:rPr>
        <w:t xml:space="preserve">Вытегорского</w:t>
      </w:r>
      <w:r>
        <w:rPr>
          <w:rFonts w:ascii="Times New Roman" w:hAnsi="Times New Roman" w:eastAsiaTheme="minorHAnsi"/>
          <w:sz w:val="28"/>
          <w:szCs w:val="24"/>
        </w:rPr>
        <w:t xml:space="preserve"> муниципального района </w:t>
      </w:r>
      <w:r>
        <w:rPr>
          <w:rFonts w:ascii="Times New Roman" w:hAnsi="Times New Roman" w:eastAsiaTheme="minorHAnsi"/>
          <w:sz w:val="28"/>
          <w:szCs w:val="24"/>
        </w:rPr>
        <w:t xml:space="preserve">от </w:t>
      </w:r>
      <w:r>
        <w:rPr>
          <w:rFonts w:ascii="Times New Roman" w:hAnsi="Times New Roman" w:eastAsiaTheme="minorHAnsi"/>
          <w:sz w:val="28"/>
          <w:szCs w:val="24"/>
        </w:rPr>
        <w:t xml:space="preserve">08.05.2018  №</w:t>
      </w:r>
      <w:r>
        <w:rPr>
          <w:rFonts w:ascii="Times New Roman" w:hAnsi="Times New Roman" w:eastAsiaTheme="minorHAnsi"/>
          <w:sz w:val="28"/>
          <w:szCs w:val="24"/>
        </w:rPr>
        <w:t xml:space="preserve"> 586 «Об утверждении порядка </w:t>
      </w:r>
      <w:r>
        <w:rPr>
          <w:rFonts w:ascii="Times New Roman" w:hAnsi="Times New Roman" w:eastAsiaTheme="minorHAnsi"/>
          <w:sz w:val="28"/>
          <w:szCs w:val="24"/>
        </w:rPr>
        <w:t xml:space="preserve">разработки, реализации и оценки эффективности реализации муниципальных программ </w:t>
      </w:r>
      <w:r>
        <w:rPr>
          <w:rFonts w:ascii="Times New Roman" w:hAnsi="Times New Roman" w:eastAsiaTheme="minorHAnsi"/>
          <w:sz w:val="28"/>
          <w:szCs w:val="24"/>
        </w:rPr>
        <w:t xml:space="preserve">Вытег</w:t>
      </w:r>
      <w:r>
        <w:rPr>
          <w:rFonts w:ascii="Times New Roman" w:hAnsi="Times New Roman" w:eastAsiaTheme="minorHAnsi"/>
          <w:sz w:val="28"/>
          <w:szCs w:val="24"/>
        </w:rPr>
        <w:t xml:space="preserve">орского</w:t>
      </w:r>
      <w:r>
        <w:rPr>
          <w:rFonts w:ascii="Times New Roman" w:hAnsi="Times New Roman" w:eastAsiaTheme="minorHAnsi"/>
          <w:sz w:val="28"/>
          <w:szCs w:val="24"/>
        </w:rPr>
        <w:t xml:space="preserve"> муниципального района» (далее – Порядок от 08.05.2018 № 586).</w:t>
      </w:r>
      <w:r>
        <w:rPr>
          <w:rFonts w:ascii="Times New Roman" w:hAnsi="Times New Roman" w:eastAsiaTheme="minorHAnsi"/>
          <w:sz w:val="28"/>
          <w:szCs w:val="24"/>
        </w:rPr>
      </w:r>
      <w:r>
        <w:rPr>
          <w:rFonts w:ascii="Times New Roman" w:hAnsi="Times New Roman" w:eastAsiaTheme="minorHAnsi"/>
          <w:sz w:val="28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Проект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Программы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представлен на экспертизу в </w:t>
      </w:r>
      <w:r>
        <w:rPr>
          <w:rFonts w:ascii="Times New Roman" w:hAnsi="Times New Roman"/>
          <w:sz w:val="28"/>
          <w:szCs w:val="28"/>
          <w:lang w:eastAsia="ru-RU"/>
        </w:rPr>
        <w:t xml:space="preserve">соответствии с Порядком разработки и реализации программ утвержденному Постановлением 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Вытегорского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от 08.05.2018 года № 586 «Об утверждении порядка разработки, реализации и оценки эффективности реализации муниципальных программ </w:t>
      </w:r>
      <w:r>
        <w:rPr>
          <w:rFonts w:ascii="Times New Roman" w:hAnsi="Times New Roman"/>
          <w:sz w:val="28"/>
          <w:szCs w:val="28"/>
          <w:lang w:eastAsia="ru-RU"/>
        </w:rPr>
        <w:t xml:space="preserve">Вытегорского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района».</w:t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ind w:firstLine="567"/>
        <w:jc w:val="both"/>
        <w:spacing w:after="0" w:line="252" w:lineRule="atLeast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Экспертиза показала, что проект муниципальной программы соответствует основным направлениям государственной политики, установленным законами и иными нормативными правовыми актами Российской Федерации, Вологодской области в сфере образования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</w:t>
      </w:r>
      <w:r>
        <w:rPr>
          <w:rFonts w:ascii="Times New Roman" w:hAnsi="Times New Roman"/>
          <w:sz w:val="28"/>
          <w:szCs w:val="24"/>
        </w:rPr>
        <w:t xml:space="preserve">     Проект</w:t>
      </w:r>
      <w:r>
        <w:rPr>
          <w:rFonts w:ascii="Times New Roman" w:hAnsi="Times New Roman"/>
          <w:sz w:val="28"/>
          <w:szCs w:val="24"/>
        </w:rPr>
        <w:t xml:space="preserve"> постановления предлагает внести изменения в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муниципальную программу</w:t>
      </w:r>
      <w:r>
        <w:rPr>
          <w:rFonts w:ascii="Times New Roman" w:hAnsi="Times New Roman"/>
          <w:sz w:val="28"/>
          <w:szCs w:val="24"/>
        </w:rPr>
        <w:t xml:space="preserve"> «Развитие образования </w:t>
      </w:r>
      <w:r>
        <w:rPr>
          <w:rFonts w:ascii="Times New Roman" w:hAnsi="Times New Roman"/>
          <w:sz w:val="28"/>
          <w:szCs w:val="24"/>
        </w:rPr>
        <w:t xml:space="preserve">Вытегорского</w:t>
      </w:r>
      <w:r>
        <w:rPr>
          <w:rFonts w:ascii="Times New Roman" w:hAnsi="Times New Roman"/>
          <w:sz w:val="28"/>
          <w:szCs w:val="24"/>
        </w:rPr>
        <w:t xml:space="preserve"> муниципального района на 2021-2025 годы»</w:t>
      </w:r>
      <w:r>
        <w:rPr>
          <w:rFonts w:ascii="Times New Roman" w:hAnsi="Times New Roman"/>
          <w:sz w:val="28"/>
          <w:szCs w:val="24"/>
        </w:rPr>
        <w:t xml:space="preserve">, утвержденную постановлением Администрации ВМР от 29 марта 2019 года № 327. 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О</w:t>
      </w:r>
      <w:r>
        <w:rPr>
          <w:rFonts w:ascii="Times New Roman" w:hAnsi="Times New Roman"/>
          <w:sz w:val="28"/>
          <w:szCs w:val="24"/>
        </w:rPr>
        <w:t xml:space="preserve">бъем финансирования программы приводится в соответствие с решением Представительного собрания </w:t>
      </w:r>
      <w:r>
        <w:rPr>
          <w:rFonts w:ascii="Times New Roman" w:hAnsi="Times New Roman"/>
          <w:sz w:val="28"/>
          <w:szCs w:val="24"/>
        </w:rPr>
        <w:t xml:space="preserve">Вытегорского</w:t>
      </w:r>
      <w:r>
        <w:rPr>
          <w:rFonts w:ascii="Times New Roman" w:hAnsi="Times New Roman"/>
          <w:sz w:val="28"/>
          <w:szCs w:val="24"/>
        </w:rPr>
        <w:t xml:space="preserve"> муниципального р</w:t>
      </w:r>
      <w:r>
        <w:rPr>
          <w:rFonts w:ascii="Times New Roman" w:hAnsi="Times New Roman"/>
          <w:sz w:val="28"/>
          <w:szCs w:val="24"/>
        </w:rPr>
        <w:t xml:space="preserve">айона от 13.12.2022</w:t>
      </w:r>
      <w:r>
        <w:rPr>
          <w:rFonts w:ascii="Times New Roman" w:hAnsi="Times New Roman"/>
          <w:sz w:val="28"/>
          <w:szCs w:val="24"/>
        </w:rPr>
        <w:t xml:space="preserve"> г. №</w:t>
      </w:r>
      <w:r>
        <w:rPr>
          <w:rFonts w:ascii="Times New Roman" w:hAnsi="Times New Roman"/>
          <w:sz w:val="28"/>
          <w:szCs w:val="24"/>
        </w:rPr>
        <w:t xml:space="preserve"> 588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«О районном бюджете на 2023</w:t>
      </w:r>
      <w:r>
        <w:rPr>
          <w:rFonts w:ascii="Times New Roman" w:hAnsi="Times New Roman"/>
          <w:sz w:val="28"/>
          <w:szCs w:val="24"/>
        </w:rPr>
        <w:t xml:space="preserve"> год и </w:t>
      </w:r>
      <w:r>
        <w:rPr>
          <w:rFonts w:ascii="Times New Roman" w:hAnsi="Times New Roman"/>
          <w:sz w:val="28"/>
          <w:szCs w:val="24"/>
        </w:rPr>
        <w:t xml:space="preserve">плановый период 2024 и 2025</w:t>
      </w:r>
      <w:r>
        <w:rPr>
          <w:rFonts w:ascii="Times New Roman" w:hAnsi="Times New Roman"/>
          <w:sz w:val="28"/>
          <w:szCs w:val="24"/>
        </w:rPr>
        <w:t xml:space="preserve"> годов» с последующими изменениями.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ind w:left="142" w:firstLine="425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каждой из </w:t>
      </w:r>
      <w:r>
        <w:rPr>
          <w:rFonts w:ascii="Times New Roman" w:hAnsi="Times New Roman"/>
          <w:sz w:val="28"/>
          <w:szCs w:val="28"/>
        </w:rPr>
        <w:t xml:space="preserve">поставленных задач</w:t>
      </w:r>
      <w:r>
        <w:rPr>
          <w:rFonts w:ascii="Times New Roman" w:hAnsi="Times New Roman"/>
          <w:sz w:val="28"/>
          <w:szCs w:val="28"/>
        </w:rPr>
        <w:t xml:space="preserve"> муниципальной программой</w:t>
      </w:r>
      <w:r>
        <w:rPr>
          <w:rFonts w:ascii="Times New Roman" w:hAnsi="Times New Roman"/>
          <w:sz w:val="28"/>
          <w:szCs w:val="28"/>
        </w:rPr>
        <w:t xml:space="preserve"> разработаны 7</w:t>
      </w:r>
      <w:r>
        <w:rPr>
          <w:rFonts w:ascii="Times New Roman" w:hAnsi="Times New Roman"/>
          <w:sz w:val="28"/>
          <w:szCs w:val="28"/>
        </w:rPr>
        <w:t xml:space="preserve"> подпрограмм</w:t>
      </w:r>
      <w:r>
        <w:rPr>
          <w:rFonts w:ascii="Times New Roman" w:hAnsi="Times New Roman"/>
          <w:sz w:val="28"/>
          <w:szCs w:val="28"/>
        </w:rPr>
        <w:t xml:space="preserve">. Проектом решения предлагается изменить общий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объем финансирования муниципальной программы, увеличив его на 2243,6 тыс. рублей (+0,1%). </w:t>
      </w:r>
      <w:r>
        <w:rPr>
          <w:rFonts w:ascii="Times New Roman" w:hAnsi="Times New Roman"/>
          <w:sz w:val="28"/>
          <w:szCs w:val="28"/>
        </w:rPr>
        <w:t xml:space="preserve">Корректируются</w:t>
      </w:r>
      <w:r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бъемы финансирования </w:t>
      </w:r>
      <w:r>
        <w:rPr>
          <w:rFonts w:ascii="Times New Roman" w:hAnsi="Times New Roman"/>
          <w:sz w:val="28"/>
          <w:szCs w:val="28"/>
        </w:rPr>
        <w:t xml:space="preserve">в 2023</w:t>
      </w:r>
      <w:r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следующих подпрограмм :</w:t>
      </w:r>
      <w:r>
        <w:rPr>
          <w:rFonts w:ascii="Times New Roman" w:hAnsi="Times New Roman"/>
          <w:sz w:val="28"/>
          <w:szCs w:val="28"/>
        </w:rPr>
      </w:r>
    </w:p>
    <w:p>
      <w:pPr>
        <w:ind w:left="142" w:firstLine="425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Подпрограммы:</w:t>
      </w:r>
      <w:r>
        <w:rPr>
          <w:rFonts w:ascii="Times New Roman" w:hAnsi="Times New Roman"/>
          <w:sz w:val="28"/>
          <w:szCs w:val="28"/>
        </w:rPr>
      </w:r>
    </w:p>
    <w:p>
      <w:pPr>
        <w:ind w:left="142" w:firstLine="425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i/>
          <w:sz w:val="28"/>
          <w:szCs w:val="28"/>
        </w:rPr>
        <w:t xml:space="preserve">«Развитие системы дошкольного образования»</w:t>
      </w:r>
      <w:r>
        <w:rPr>
          <w:rFonts w:ascii="Times New Roman" w:hAnsi="Times New Roman"/>
          <w:sz w:val="28"/>
          <w:szCs w:val="28"/>
        </w:rPr>
        <w:t xml:space="preserve"> - объем ассигнований на реализацию мероприятий </w:t>
      </w:r>
      <w:r>
        <w:rPr>
          <w:rFonts w:ascii="Times New Roman" w:hAnsi="Times New Roman"/>
          <w:sz w:val="28"/>
          <w:szCs w:val="28"/>
        </w:rPr>
        <w:t xml:space="preserve"> сокращается на 439,1 </w:t>
      </w:r>
      <w:r>
        <w:rPr>
          <w:rFonts w:ascii="Times New Roman" w:hAnsi="Times New Roman"/>
          <w:sz w:val="28"/>
          <w:szCs w:val="28"/>
        </w:rPr>
        <w:t xml:space="preserve">тыс.рублей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(-0,1</w:t>
      </w:r>
      <w:r>
        <w:rPr>
          <w:rFonts w:ascii="Times New Roman" w:hAnsi="Times New Roman"/>
          <w:sz w:val="28"/>
          <w:szCs w:val="28"/>
        </w:rPr>
        <w:t xml:space="preserve">%)</w:t>
      </w:r>
      <w:r/>
      <w:r>
        <w:rPr>
          <w:rFonts w:ascii="Times New Roman" w:hAnsi="Times New Roman"/>
          <w:sz w:val="28"/>
          <w:szCs w:val="28"/>
        </w:rPr>
        <w:t xml:space="preserve"> и составит 748612,3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тыс.рублей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, в том числе в 2023 году </w:t>
      </w:r>
      <w:r>
        <w:rPr>
          <w:rFonts w:ascii="Times New Roman" w:hAnsi="Times New Roman"/>
          <w:sz w:val="28"/>
          <w:szCs w:val="28"/>
        </w:rPr>
        <w:t xml:space="preserve">финансирование составит 150758,6 </w:t>
      </w:r>
      <w:r>
        <w:rPr>
          <w:rFonts w:ascii="Times New Roman" w:hAnsi="Times New Roman"/>
          <w:sz w:val="28"/>
          <w:szCs w:val="28"/>
        </w:rPr>
        <w:t xml:space="preserve">тыс.рублей,</w:t>
      </w:r>
      <w:r>
        <w:rPr>
          <w:rFonts w:ascii="Times New Roman" w:hAnsi="Times New Roman"/>
          <w:sz w:val="28"/>
          <w:szCs w:val="28"/>
        </w:rPr>
        <w:t xml:space="preserve"> что </w:t>
      </w:r>
      <w:r>
        <w:rPr>
          <w:rFonts w:ascii="Times New Roman" w:hAnsi="Times New Roman"/>
          <w:sz w:val="28"/>
          <w:szCs w:val="28"/>
        </w:rPr>
        <w:t xml:space="preserve">на 439,1 </w:t>
      </w:r>
      <w:r>
        <w:rPr>
          <w:rFonts w:ascii="Times New Roman" w:hAnsi="Times New Roman"/>
          <w:sz w:val="28"/>
          <w:szCs w:val="28"/>
        </w:rPr>
        <w:t xml:space="preserve">тыс.рублей</w:t>
      </w:r>
      <w:r>
        <w:rPr>
          <w:rFonts w:ascii="Times New Roman" w:hAnsi="Times New Roman"/>
          <w:sz w:val="28"/>
          <w:szCs w:val="28"/>
        </w:rPr>
        <w:t xml:space="preserve"> (-0,3%</w:t>
      </w:r>
      <w:r>
        <w:rPr>
          <w:rFonts w:ascii="Times New Roman" w:hAnsi="Times New Roman"/>
          <w:sz w:val="28"/>
          <w:szCs w:val="28"/>
        </w:rPr>
        <w:t xml:space="preserve">) меньше</w:t>
      </w:r>
      <w:r>
        <w:rPr>
          <w:rFonts w:ascii="Times New Roman" w:hAnsi="Times New Roman"/>
          <w:sz w:val="28"/>
          <w:szCs w:val="28"/>
        </w:rPr>
        <w:t xml:space="preserve"> ранее утвержденных значений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ind w:left="142" w:firstLine="425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2</w:t>
      </w:r>
      <w:r>
        <w:rPr>
          <w:rFonts w:ascii="Times New Roman" w:hAnsi="Times New Roman"/>
          <w:i/>
          <w:sz w:val="28"/>
          <w:szCs w:val="28"/>
          <w:highlight w:val="white"/>
          <w:lang w:eastAsia="ru-RU"/>
        </w:rPr>
        <w:t xml:space="preserve">. «Развитие системы общего образов</w:t>
      </w:r>
      <w:r>
        <w:rPr>
          <w:rFonts w:ascii="Times New Roman" w:hAnsi="Times New Roman"/>
          <w:i/>
          <w:sz w:val="28"/>
          <w:szCs w:val="28"/>
          <w:highlight w:val="white"/>
          <w:lang w:eastAsia="ru-RU"/>
        </w:rPr>
        <w:t xml:space="preserve">ания» </w:t>
      </w:r>
      <w:r>
        <w:rPr>
          <w:rFonts w:ascii="Times New Roman" w:hAnsi="Times New Roman"/>
          <w:sz w:val="28"/>
          <w:szCs w:val="28"/>
          <w:highlight w:val="white"/>
        </w:rPr>
        <w:t xml:space="preserve">-  </w:t>
      </w:r>
      <w:r>
        <w:rPr>
          <w:rFonts w:ascii="Times New Roman" w:hAnsi="Times New Roman"/>
          <w:sz w:val="28"/>
          <w:szCs w:val="28"/>
        </w:rPr>
        <w:t xml:space="preserve">объем ассигнований на реализацию мероприятий </w:t>
      </w:r>
      <w:r>
        <w:rPr>
          <w:rFonts w:ascii="Times New Roman" w:hAnsi="Times New Roman"/>
          <w:sz w:val="28"/>
          <w:szCs w:val="28"/>
        </w:rPr>
        <w:t xml:space="preserve">увеличивается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на 436,7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тыс.рублей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(+0,03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%)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и составит 1716493,7 тыс. рублей. Об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щий объем финансирован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ия подпрограммы в 2023 году составит 355953,2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тыс.рублей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(+436,7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тыс.рублей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или +0,1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% к ранее утвержденному плану)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;</w:t>
      </w:r>
      <w:r>
        <w:rPr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left="142" w:firstLine="425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i/>
          <w:sz w:val="28"/>
          <w:szCs w:val="28"/>
        </w:rPr>
        <w:t xml:space="preserve">«Кадровое обеспечение системы образования</w:t>
      </w:r>
      <w:r>
        <w:rPr>
          <w:rFonts w:ascii="Times New Roman" w:hAnsi="Times New Roman"/>
          <w:sz w:val="28"/>
          <w:szCs w:val="28"/>
        </w:rPr>
        <w:t xml:space="preserve">» 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фи</w:t>
      </w:r>
      <w:r>
        <w:rPr>
          <w:rFonts w:ascii="Times New Roman" w:hAnsi="Times New Roman"/>
          <w:sz w:val="28"/>
          <w:szCs w:val="28"/>
        </w:rPr>
        <w:t xml:space="preserve">нансирование сокращается на 196</w:t>
      </w:r>
      <w:r>
        <w:rPr>
          <w:rFonts w:ascii="Times New Roman" w:hAnsi="Times New Roman"/>
          <w:sz w:val="28"/>
          <w:szCs w:val="28"/>
        </w:rPr>
        <w:t xml:space="preserve">,0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тыс.рублей (-4,3%)</w:t>
      </w:r>
      <w:r>
        <w:rPr>
          <w:rFonts w:ascii="Times New Roman" w:hAnsi="Times New Roman"/>
          <w:sz w:val="28"/>
          <w:szCs w:val="28"/>
        </w:rPr>
        <w:t xml:space="preserve">, в том числе в 2023 году на 196,0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тыс.рублей (-19,2%)</w:t>
      </w:r>
      <w:r>
        <w:rPr>
          <w:rFonts w:ascii="Times New Roman" w:hAnsi="Times New Roman"/>
          <w:sz w:val="28"/>
          <w:szCs w:val="28"/>
        </w:rPr>
        <w:t xml:space="preserve">. Общий объем расходов подпрограммы </w:t>
      </w:r>
      <w:r>
        <w:rPr>
          <w:rFonts w:ascii="Times New Roman" w:hAnsi="Times New Roman"/>
          <w:sz w:val="28"/>
          <w:szCs w:val="28"/>
        </w:rPr>
        <w:t xml:space="preserve">составит 4348,0 тыс. рублей, в  том числе в 2023 году - 826,0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тыс.рубле</w:t>
      </w: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142" w:firstLine="425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5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. «Комплексная безопасность и мероприят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ия по проведению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ремонтных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ра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бот  в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муниципальных образовательных  у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чреждениях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»-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объем ассигнований на реализацию мероприятий</w:t>
      </w:r>
      <w:r>
        <w:rPr>
          <w:rFonts w:ascii="Times New Roman" w:hAnsi="Times New Roman"/>
          <w:sz w:val="28"/>
          <w:szCs w:val="28"/>
          <w:lang w:eastAsia="ru-RU"/>
        </w:rPr>
        <w:t xml:space="preserve"> увеличивается на 2750,4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(+0,7</w:t>
      </w:r>
      <w:r>
        <w:rPr>
          <w:rFonts w:ascii="Times New Roman" w:hAnsi="Times New Roman"/>
          <w:sz w:val="28"/>
          <w:szCs w:val="28"/>
          <w:lang w:eastAsia="ru-RU"/>
        </w:rPr>
        <w:t xml:space="preserve">%)</w:t>
      </w:r>
      <w:r>
        <w:rPr>
          <w:rFonts w:ascii="Times New Roman" w:hAnsi="Times New Roman"/>
          <w:sz w:val="28"/>
          <w:szCs w:val="28"/>
          <w:lang w:eastAsia="ru-RU"/>
        </w:rPr>
        <w:t xml:space="preserve"> и составит </w:t>
      </w:r>
      <w:r>
        <w:rPr>
          <w:rFonts w:ascii="Times New Roman" w:hAnsi="Times New Roman"/>
          <w:sz w:val="28"/>
          <w:szCs w:val="28"/>
          <w:lang w:eastAsia="ru-RU"/>
        </w:rPr>
        <w:t xml:space="preserve">405144,5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. Всего </w:t>
      </w:r>
      <w:r>
        <w:rPr>
          <w:rFonts w:ascii="Times New Roman" w:hAnsi="Times New Roman"/>
          <w:sz w:val="28"/>
          <w:szCs w:val="28"/>
          <w:lang w:eastAsia="ru-RU"/>
        </w:rPr>
        <w:t xml:space="preserve">на реализацию мероприятий в 202</w:t>
      </w:r>
      <w:r>
        <w:rPr>
          <w:rFonts w:ascii="Times New Roman" w:hAnsi="Times New Roman"/>
          <w:sz w:val="28"/>
          <w:szCs w:val="28"/>
          <w:lang w:eastAsia="ru-RU"/>
        </w:rPr>
        <w:t xml:space="preserve">3 году будет направлено 225724,1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(+2750,4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на 1,2 % больше</w:t>
      </w:r>
      <w:r>
        <w:rPr>
          <w:rFonts w:ascii="Times New Roman" w:hAnsi="Times New Roman"/>
          <w:sz w:val="28"/>
          <w:szCs w:val="28"/>
          <w:lang w:eastAsia="ru-RU"/>
        </w:rPr>
        <w:t xml:space="preserve"> ранее утвержденных показателей)</w:t>
      </w:r>
      <w:r>
        <w:rPr>
          <w:rFonts w:ascii="Times New Roman" w:hAnsi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6. «Обеспечение реализации программы, прочие мероприятия в области образования» -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 фи</w:t>
      </w:r>
      <w:r>
        <w:rPr>
          <w:rFonts w:ascii="Times New Roman" w:hAnsi="Times New Roman"/>
          <w:sz w:val="28"/>
          <w:szCs w:val="28"/>
        </w:rPr>
        <w:t xml:space="preserve">нансирование сокращается на 308,4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тыс.рублей (-0,1%)</w:t>
      </w:r>
      <w:r>
        <w:rPr>
          <w:rFonts w:ascii="Times New Roman" w:hAnsi="Times New Roman"/>
          <w:sz w:val="28"/>
          <w:szCs w:val="28"/>
        </w:rPr>
        <w:t xml:space="preserve">, в том числе в 2023 году на 308,4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тыс.рублей (-0,5%)</w:t>
      </w:r>
      <w:r>
        <w:rPr>
          <w:rFonts w:ascii="Times New Roman" w:hAnsi="Times New Roman"/>
          <w:sz w:val="28"/>
          <w:szCs w:val="28"/>
        </w:rPr>
        <w:t xml:space="preserve">. Общий объем расходов подпрограммы </w:t>
      </w:r>
      <w:r>
        <w:rPr>
          <w:rFonts w:ascii="Times New Roman" w:hAnsi="Times New Roman"/>
          <w:sz w:val="28"/>
          <w:szCs w:val="28"/>
        </w:rPr>
        <w:t xml:space="preserve">составит 287119,0 тыс. рублей, в том числе в 2023 году - 58579,1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тыс.рубле</w:t>
      </w: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постановления финанси</w:t>
      </w:r>
      <w:r>
        <w:rPr>
          <w:rFonts w:ascii="Times New Roman" w:hAnsi="Times New Roman"/>
          <w:sz w:val="28"/>
          <w:szCs w:val="28"/>
        </w:rPr>
        <w:t xml:space="preserve">рование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в целом по сравнению с</w:t>
      </w:r>
      <w:r>
        <w:rPr>
          <w:rFonts w:ascii="Times New Roman" w:hAnsi="Times New Roman"/>
          <w:sz w:val="28"/>
          <w:szCs w:val="28"/>
        </w:rPr>
        <w:t xml:space="preserve"> ранее утвержденным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показателям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увеличивается и составит 3261241,0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тыс.рубле</w:t>
      </w: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, в том числе в 2023 году – 812365,9 </w:t>
      </w:r>
      <w:r>
        <w:rPr>
          <w:rFonts w:ascii="Times New Roman" w:hAnsi="Times New Roman"/>
          <w:sz w:val="28"/>
          <w:szCs w:val="28"/>
        </w:rPr>
        <w:t xml:space="preserve">тыс.рублей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Анализируя обоснованность и достоверность (реалистичность) объёма ресурсного обеспечения муниципальной программы, Ревизионная комиссия ВМР пришла к выводу, что реализация мероприятий программы</w:t>
      </w:r>
      <w:r>
        <w:rPr>
          <w:rFonts w:ascii="Times New Roman" w:hAnsi="Times New Roman"/>
          <w:sz w:val="28"/>
          <w:szCs w:val="28"/>
        </w:rPr>
        <w:t xml:space="preserve"> в 2021 – 2025 годах будет осуществляться за счет средств районного бюджета, областного и федерального бюджетов, а также безвозмездных поступлений от физических лиц (родительская плата за присмотр и уход за детьми в образовательных организациях района). 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Муниципальной программы и подпрограммами для достижения поставленной цели предусмотрена реализация </w:t>
      </w:r>
      <w:r>
        <w:rPr>
          <w:rFonts w:ascii="Times New Roman" w:hAnsi="Times New Roman"/>
          <w:sz w:val="28"/>
          <w:szCs w:val="28"/>
        </w:rPr>
        <w:t xml:space="preserve">21</w:t>
      </w:r>
      <w:r>
        <w:rPr>
          <w:rFonts w:ascii="Times New Roman" w:hAnsi="Times New Roman"/>
          <w:sz w:val="28"/>
          <w:szCs w:val="28"/>
        </w:rPr>
        <w:t xml:space="preserve"> Основного мероприятия, которые соответствуют целям и задачам муниципальной программы и подпрограмм. </w:t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ресурсного обеспечения муниципальной программы рассчитан на основе фактического исполнения мероприятий за отчетный период и сложившейся потребности т.е. обоснованно и достоверно (реалистично).   </w:t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Значения Целевых показателей программы, позволяют определить степень достижения цели программы и решения поставленных задач.</w:t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постановления вносятся соответствующие изменения в паспорта и приложения подпрограмм.</w:t>
      </w:r>
      <w:r>
        <w:rPr>
          <w:rFonts w:ascii="Times New Roman" w:hAnsi="Times New Roman"/>
          <w:sz w:val="28"/>
          <w:szCs w:val="28"/>
        </w:rPr>
      </w:r>
    </w:p>
    <w:p>
      <w:pPr>
        <w:ind w:firstLine="426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Представленный на экспертизу проект постановления Программы соответствует Порядку разработки и реализации программ утвержденному Постановлением </w:t>
      </w:r>
      <w:r>
        <w:rPr>
          <w:rFonts w:ascii="Times New Roman" w:hAnsi="Times New Roman"/>
          <w:sz w:val="28"/>
          <w:szCs w:val="28"/>
        </w:rPr>
        <w:t xml:space="preserve">Администрации  </w:t>
      </w:r>
      <w:r>
        <w:rPr>
          <w:rFonts w:ascii="Times New Roman" w:hAnsi="Times New Roman"/>
          <w:sz w:val="28"/>
          <w:szCs w:val="28"/>
        </w:rPr>
        <w:t xml:space="preserve">Вытегорского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от 08 мая 2018 года № 586 «Об утверждении Порядка разработки, реализации и оценки эффективности реализации муниципальных программ </w:t>
      </w:r>
      <w:r>
        <w:rPr>
          <w:rFonts w:ascii="Times New Roman" w:hAnsi="Times New Roman"/>
          <w:sz w:val="28"/>
          <w:szCs w:val="28"/>
        </w:rPr>
        <w:t xml:space="preserve">Вытегорского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района». </w:t>
      </w:r>
      <w:r>
        <w:rPr>
          <w:rFonts w:ascii="Times New Roman" w:hAnsi="Times New Roman"/>
          <w:sz w:val="28"/>
          <w:szCs w:val="28"/>
        </w:rPr>
      </w:r>
      <w:r>
        <w:rPr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highlight w:val="none"/>
        </w:rPr>
        <w:t xml:space="preserve">   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4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Выводы и предложения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Представленный проект </w:t>
      </w:r>
      <w:r>
        <w:rPr>
          <w:rFonts w:ascii="Times New Roman" w:hAnsi="Times New Roman"/>
          <w:sz w:val="28"/>
          <w:szCs w:val="28"/>
        </w:rPr>
        <w:t xml:space="preserve">постановления </w:t>
      </w:r>
      <w:r>
        <w:rPr>
          <w:rFonts w:ascii="Times New Roman" w:hAnsi="Times New Roman"/>
          <w:sz w:val="28"/>
          <w:szCs w:val="28"/>
        </w:rPr>
        <w:t xml:space="preserve">«О внесении изменений в муниципальную программу «Развитие образования </w:t>
      </w:r>
      <w:r>
        <w:rPr>
          <w:rFonts w:ascii="Times New Roman" w:hAnsi="Times New Roman"/>
          <w:sz w:val="28"/>
          <w:szCs w:val="28"/>
        </w:rPr>
        <w:t xml:space="preserve">Вытегорского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на 2021-2025 годы»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соответствует</w:t>
      </w:r>
      <w:r>
        <w:rPr>
          <w:rFonts w:ascii="Times New Roman" w:hAnsi="Times New Roman"/>
          <w:sz w:val="28"/>
          <w:szCs w:val="28"/>
        </w:rPr>
        <w:t xml:space="preserve"> требованиям </w:t>
      </w:r>
      <w:r>
        <w:rPr>
          <w:rFonts w:ascii="Times New Roman" w:hAnsi="Times New Roman"/>
          <w:sz w:val="28"/>
          <w:szCs w:val="28"/>
        </w:rPr>
        <w:t xml:space="preserve">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Федерального закона № 131-ФЗ от 06.10.2003 «Об общих принципах организации местного самоупра</w:t>
      </w:r>
      <w:r>
        <w:rPr>
          <w:rFonts w:ascii="Times New Roman" w:hAnsi="Times New Roman"/>
          <w:sz w:val="28"/>
          <w:szCs w:val="28"/>
        </w:rPr>
        <w:t xml:space="preserve">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соответствует </w:t>
      </w:r>
      <w:r>
        <w:rPr>
          <w:rFonts w:ascii="Times New Roman" w:hAnsi="Times New Roman"/>
          <w:sz w:val="28"/>
          <w:szCs w:val="28"/>
        </w:rPr>
        <w:t xml:space="preserve">требованиям постановления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Вытегорского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 от 08.05.2018  № 586 «Об утверждении порядка разработки, реализации и оценки эффективности реализации муниципальных программ </w:t>
      </w:r>
      <w:r>
        <w:rPr>
          <w:rFonts w:ascii="Times New Roman" w:hAnsi="Times New Roman"/>
          <w:sz w:val="28"/>
          <w:szCs w:val="28"/>
        </w:rPr>
        <w:t xml:space="preserve">Вытегорского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      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Ревизионной комиссии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И.А. Парфенова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Verdan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4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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07" w:hanging="84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">
    <w:multiLevelType w:val="hybridMultilevel"/>
    <w:lvl w:ilvl="0">
      <w:start w:val="4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07" w:hanging="84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9"/>
  </w:num>
  <w:num w:numId="5">
    <w:abstractNumId w:val="1"/>
  </w:num>
  <w:num w:numId="6">
    <w:abstractNumId w:val="15"/>
  </w:num>
  <w:num w:numId="7">
    <w:abstractNumId w:val="5"/>
  </w:num>
  <w:num w:numId="8">
    <w:abstractNumId w:val="3"/>
  </w:num>
  <w:num w:numId="9">
    <w:abstractNumId w:val="4"/>
  </w:num>
  <w:num w:numId="10">
    <w:abstractNumId w:val="14"/>
  </w:num>
  <w:num w:numId="11">
    <w:abstractNumId w:val="16"/>
  </w:num>
  <w:num w:numId="12">
    <w:abstractNumId w:val="13"/>
  </w:num>
  <w:num w:numId="13">
    <w:abstractNumId w:val="10"/>
  </w:num>
  <w:num w:numId="14">
    <w:abstractNumId w:val="0"/>
  </w:num>
  <w:num w:numId="15">
    <w:abstractNumId w:val="6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3"/>
    <w:next w:val="863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basedOn w:val="864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3"/>
    <w:next w:val="863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basedOn w:val="864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3"/>
    <w:next w:val="863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basedOn w:val="864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3"/>
    <w:next w:val="863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basedOn w:val="864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3"/>
    <w:next w:val="863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basedOn w:val="864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3"/>
    <w:next w:val="863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basedOn w:val="864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3"/>
    <w:next w:val="863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basedOn w:val="864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3"/>
    <w:next w:val="86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basedOn w:val="864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3"/>
    <w:next w:val="863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basedOn w:val="864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Title"/>
    <w:basedOn w:val="863"/>
    <w:next w:val="863"/>
    <w:link w:val="70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7">
    <w:name w:val="Title Char"/>
    <w:basedOn w:val="864"/>
    <w:link w:val="706"/>
    <w:uiPriority w:val="10"/>
    <w:rPr>
      <w:sz w:val="48"/>
      <w:szCs w:val="48"/>
    </w:rPr>
  </w:style>
  <w:style w:type="paragraph" w:styleId="708">
    <w:name w:val="Subtitle"/>
    <w:basedOn w:val="863"/>
    <w:next w:val="863"/>
    <w:link w:val="709"/>
    <w:uiPriority w:val="11"/>
    <w:qFormat/>
    <w:pPr>
      <w:spacing w:before="200" w:after="200"/>
    </w:pPr>
    <w:rPr>
      <w:sz w:val="24"/>
      <w:szCs w:val="24"/>
    </w:rPr>
  </w:style>
  <w:style w:type="character" w:styleId="709">
    <w:name w:val="Subtitle Char"/>
    <w:basedOn w:val="864"/>
    <w:link w:val="708"/>
    <w:uiPriority w:val="11"/>
    <w:rPr>
      <w:sz w:val="24"/>
      <w:szCs w:val="24"/>
    </w:rPr>
  </w:style>
  <w:style w:type="paragraph" w:styleId="710">
    <w:name w:val="Quote"/>
    <w:basedOn w:val="863"/>
    <w:next w:val="863"/>
    <w:link w:val="711"/>
    <w:uiPriority w:val="29"/>
    <w:qFormat/>
    <w:pPr>
      <w:ind w:left="720" w:right="720"/>
    </w:pPr>
    <w:rPr>
      <w:i/>
    </w:rPr>
  </w:style>
  <w:style w:type="character" w:styleId="711">
    <w:name w:val="Quote Char"/>
    <w:link w:val="710"/>
    <w:uiPriority w:val="29"/>
    <w:rPr>
      <w:i/>
    </w:rPr>
  </w:style>
  <w:style w:type="paragraph" w:styleId="712">
    <w:name w:val="Intense Quote"/>
    <w:basedOn w:val="863"/>
    <w:next w:val="863"/>
    <w:link w:val="71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3">
    <w:name w:val="Intense Quote Char"/>
    <w:link w:val="712"/>
    <w:uiPriority w:val="30"/>
    <w:rPr>
      <w:i/>
    </w:rPr>
  </w:style>
  <w:style w:type="paragraph" w:styleId="714">
    <w:name w:val="Header"/>
    <w:basedOn w:val="863"/>
    <w:link w:val="7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5">
    <w:name w:val="Header Char"/>
    <w:basedOn w:val="864"/>
    <w:link w:val="714"/>
    <w:uiPriority w:val="99"/>
  </w:style>
  <w:style w:type="paragraph" w:styleId="716">
    <w:name w:val="Footer"/>
    <w:basedOn w:val="863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Footer Char"/>
    <w:basedOn w:val="864"/>
    <w:link w:val="716"/>
    <w:uiPriority w:val="99"/>
  </w:style>
  <w:style w:type="paragraph" w:styleId="718">
    <w:name w:val="Caption"/>
    <w:basedOn w:val="863"/>
    <w:next w:val="86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9">
    <w:name w:val="Caption Char"/>
    <w:basedOn w:val="718"/>
    <w:link w:val="716"/>
    <w:uiPriority w:val="99"/>
  </w:style>
  <w:style w:type="table" w:styleId="720">
    <w:name w:val="Table Grid Light"/>
    <w:basedOn w:val="8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Plain Table 1"/>
    <w:basedOn w:val="8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8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>
    <w:name w:val="Grid Table 4 - Accent 1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9">
    <w:name w:val="Grid Table 4 - Accent 2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0">
    <w:name w:val="Grid Table 4 - Accent 3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1">
    <w:name w:val="Grid Table 4 - Accent 4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2">
    <w:name w:val="Grid Table 4 - Accent 5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3">
    <w:name w:val="Grid Table 4 - Accent 6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4">
    <w:name w:val="Grid Table 5 Dark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1">
    <w:name w:val="Grid Table 6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2">
    <w:name w:val="Grid Table 6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3">
    <w:name w:val="Grid Table 6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4">
    <w:name w:val="Grid Table 6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5">
    <w:name w:val="Grid Table 6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6">
    <w:name w:val="Grid Table 6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6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7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3">
    <w:name w:val="List Table 2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4">
    <w:name w:val="List Table 2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5">
    <w:name w:val="List Table 2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6">
    <w:name w:val="List Table 2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7">
    <w:name w:val="List Table 2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8">
    <w:name w:val="List Table 2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6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1">
    <w:name w:val="List Table 6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2">
    <w:name w:val="List Table 6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3">
    <w:name w:val="List Table 6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4">
    <w:name w:val="List Table 6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5">
    <w:name w:val="List Table 6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6">
    <w:name w:val="List Table 6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7">
    <w:name w:val="List Table 7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8">
    <w:name w:val="List Table 7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9">
    <w:name w:val="List Table 7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0">
    <w:name w:val="List Table 7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1">
    <w:name w:val="List Table 7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2">
    <w:name w:val="List Table 7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3">
    <w:name w:val="List Table 7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4">
    <w:name w:val="Lined - Accent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Lined - Accent 1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6">
    <w:name w:val="Lined - Accent 2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7">
    <w:name w:val="Lined - Accent 3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8">
    <w:name w:val="Lined - Accent 4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9">
    <w:name w:val="Lined - Accent 5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0">
    <w:name w:val="Lined - Accent 6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1">
    <w:name w:val="Bordered &amp; Lined - Accent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Bordered &amp; Lined - Accent 1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Bordered &amp; Lined - Accent 2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Bordered &amp; Lined - Accent 3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Bordered &amp; Lined - Accent 4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Bordered &amp; Lined - Accent 5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Bordered &amp; Lined - Accent 6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9">
    <w:name w:val="Bordered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0">
    <w:name w:val="Bordered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1">
    <w:name w:val="Bordered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2">
    <w:name w:val="Bordered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3">
    <w:name w:val="Bordered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4">
    <w:name w:val="Bordered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863"/>
    <w:link w:val="847"/>
    <w:uiPriority w:val="99"/>
    <w:semiHidden/>
    <w:unhideWhenUsed/>
    <w:pPr>
      <w:spacing w:after="40" w:line="240" w:lineRule="auto"/>
    </w:pPr>
    <w:rPr>
      <w:sz w:val="18"/>
    </w:rPr>
  </w:style>
  <w:style w:type="character" w:styleId="847">
    <w:name w:val="Footnote Text Char"/>
    <w:link w:val="846"/>
    <w:uiPriority w:val="99"/>
    <w:rPr>
      <w:sz w:val="18"/>
    </w:rPr>
  </w:style>
  <w:style w:type="character" w:styleId="848">
    <w:name w:val="footnote reference"/>
    <w:basedOn w:val="864"/>
    <w:uiPriority w:val="99"/>
    <w:unhideWhenUsed/>
    <w:rPr>
      <w:vertAlign w:val="superscript"/>
    </w:rPr>
  </w:style>
  <w:style w:type="paragraph" w:styleId="849">
    <w:name w:val="endnote text"/>
    <w:basedOn w:val="863"/>
    <w:link w:val="850"/>
    <w:uiPriority w:val="99"/>
    <w:semiHidden/>
    <w:unhideWhenUsed/>
    <w:pPr>
      <w:spacing w:after="0" w:line="240" w:lineRule="auto"/>
    </w:pPr>
    <w:rPr>
      <w:sz w:val="20"/>
    </w:rPr>
  </w:style>
  <w:style w:type="character" w:styleId="850">
    <w:name w:val="Endnote Text Char"/>
    <w:link w:val="849"/>
    <w:uiPriority w:val="99"/>
    <w:rPr>
      <w:sz w:val="20"/>
    </w:rPr>
  </w:style>
  <w:style w:type="character" w:styleId="851">
    <w:name w:val="endnote reference"/>
    <w:basedOn w:val="864"/>
    <w:uiPriority w:val="99"/>
    <w:semiHidden/>
    <w:unhideWhenUsed/>
    <w:rPr>
      <w:vertAlign w:val="superscript"/>
    </w:rPr>
  </w:style>
  <w:style w:type="paragraph" w:styleId="852">
    <w:name w:val="toc 1"/>
    <w:basedOn w:val="863"/>
    <w:next w:val="863"/>
    <w:uiPriority w:val="39"/>
    <w:unhideWhenUsed/>
    <w:pPr>
      <w:ind w:left="0" w:right="0" w:firstLine="0"/>
      <w:spacing w:after="57"/>
    </w:pPr>
  </w:style>
  <w:style w:type="paragraph" w:styleId="853">
    <w:name w:val="toc 2"/>
    <w:basedOn w:val="863"/>
    <w:next w:val="863"/>
    <w:uiPriority w:val="39"/>
    <w:unhideWhenUsed/>
    <w:pPr>
      <w:ind w:left="283" w:right="0" w:firstLine="0"/>
      <w:spacing w:after="57"/>
    </w:pPr>
  </w:style>
  <w:style w:type="paragraph" w:styleId="854">
    <w:name w:val="toc 3"/>
    <w:basedOn w:val="863"/>
    <w:next w:val="863"/>
    <w:uiPriority w:val="39"/>
    <w:unhideWhenUsed/>
    <w:pPr>
      <w:ind w:left="567" w:right="0" w:firstLine="0"/>
      <w:spacing w:after="57"/>
    </w:pPr>
  </w:style>
  <w:style w:type="paragraph" w:styleId="855">
    <w:name w:val="toc 4"/>
    <w:basedOn w:val="863"/>
    <w:next w:val="863"/>
    <w:uiPriority w:val="39"/>
    <w:unhideWhenUsed/>
    <w:pPr>
      <w:ind w:left="850" w:right="0" w:firstLine="0"/>
      <w:spacing w:after="57"/>
    </w:pPr>
  </w:style>
  <w:style w:type="paragraph" w:styleId="856">
    <w:name w:val="toc 5"/>
    <w:basedOn w:val="863"/>
    <w:next w:val="863"/>
    <w:uiPriority w:val="39"/>
    <w:unhideWhenUsed/>
    <w:pPr>
      <w:ind w:left="1134" w:right="0" w:firstLine="0"/>
      <w:spacing w:after="57"/>
    </w:pPr>
  </w:style>
  <w:style w:type="paragraph" w:styleId="857">
    <w:name w:val="toc 6"/>
    <w:basedOn w:val="863"/>
    <w:next w:val="863"/>
    <w:uiPriority w:val="39"/>
    <w:unhideWhenUsed/>
    <w:pPr>
      <w:ind w:left="1417" w:right="0" w:firstLine="0"/>
      <w:spacing w:after="57"/>
    </w:pPr>
  </w:style>
  <w:style w:type="paragraph" w:styleId="858">
    <w:name w:val="toc 7"/>
    <w:basedOn w:val="863"/>
    <w:next w:val="863"/>
    <w:uiPriority w:val="39"/>
    <w:unhideWhenUsed/>
    <w:pPr>
      <w:ind w:left="1701" w:right="0" w:firstLine="0"/>
      <w:spacing w:after="57"/>
    </w:pPr>
  </w:style>
  <w:style w:type="paragraph" w:styleId="859">
    <w:name w:val="toc 8"/>
    <w:basedOn w:val="863"/>
    <w:next w:val="863"/>
    <w:uiPriority w:val="39"/>
    <w:unhideWhenUsed/>
    <w:pPr>
      <w:ind w:left="1984" w:right="0" w:firstLine="0"/>
      <w:spacing w:after="57"/>
    </w:pPr>
  </w:style>
  <w:style w:type="paragraph" w:styleId="860">
    <w:name w:val="toc 9"/>
    <w:basedOn w:val="863"/>
    <w:next w:val="863"/>
    <w:uiPriority w:val="39"/>
    <w:unhideWhenUsed/>
    <w:pPr>
      <w:ind w:left="2268" w:right="0" w:firstLine="0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863"/>
    <w:next w:val="863"/>
    <w:uiPriority w:val="99"/>
    <w:unhideWhenUsed/>
    <w:pPr>
      <w:spacing w:after="0" w:afterAutospacing="0"/>
    </w:pPr>
  </w:style>
  <w:style w:type="paragraph" w:styleId="863" w:default="1">
    <w:name w:val="Normal"/>
    <w:qFormat/>
    <w:rPr>
      <w:rFonts w:ascii="Calibri" w:hAnsi="Calibri" w:eastAsia="Times New Roman" w:cs="Times New Roman"/>
    </w:rPr>
  </w:style>
  <w:style w:type="character" w:styleId="864" w:default="1">
    <w:name w:val="Default Paragraph Font"/>
    <w:uiPriority w:val="1"/>
    <w:semiHidden/>
    <w:unhideWhenUsed/>
  </w:style>
  <w:style w:type="table" w:styleId="8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6" w:default="1">
    <w:name w:val="No List"/>
    <w:uiPriority w:val="99"/>
    <w:semiHidden/>
    <w:unhideWhenUsed/>
  </w:style>
  <w:style w:type="table" w:styleId="867">
    <w:name w:val="Table Grid"/>
    <w:basedOn w:val="8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68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9" w:customStyle="1">
    <w:name w:val="Знак"/>
    <w:basedOn w:val="86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870">
    <w:name w:val="Normal (Web)"/>
    <w:basedOn w:val="863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871">
    <w:name w:val="Balloon Text"/>
    <w:basedOn w:val="863"/>
    <w:link w:val="87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2" w:customStyle="1">
    <w:name w:val="Текст выноски Знак"/>
    <w:basedOn w:val="864"/>
    <w:link w:val="871"/>
    <w:uiPriority w:val="99"/>
    <w:semiHidden/>
    <w:rPr>
      <w:rFonts w:ascii="Tahoma" w:hAnsi="Tahoma" w:eastAsia="Times New Roman" w:cs="Tahoma"/>
      <w:sz w:val="16"/>
      <w:szCs w:val="16"/>
    </w:rPr>
  </w:style>
  <w:style w:type="paragraph" w:styleId="873">
    <w:name w:val="List Paragraph"/>
    <w:basedOn w:val="863"/>
    <w:uiPriority w:val="34"/>
    <w:qFormat/>
    <w:pPr>
      <w:contextualSpacing/>
      <w:ind w:left="720"/>
    </w:pPr>
  </w:style>
  <w:style w:type="paragraph" w:styleId="874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19A6C-F71B-4321-9067-905344E1B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revision>7</cp:revision>
  <dcterms:created xsi:type="dcterms:W3CDTF">2023-03-24T13:18:00Z</dcterms:created>
  <dcterms:modified xsi:type="dcterms:W3CDTF">2024-01-23T07:51:10Z</dcterms:modified>
</cp:coreProperties>
</file>