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11" w:rsidRDefault="007A65B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2023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27511" w:rsidRDefault="007A65B7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0B3DB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727511" w:rsidRDefault="007A6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13F3C" w:rsidRPr="00B13F3C" w:rsidRDefault="007A65B7" w:rsidP="00B13F3C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 w:rsidR="001C1130">
        <w:rPr>
          <w:rFonts w:ascii="Times New Roman" w:hAnsi="Times New Roman"/>
          <w:b/>
          <w:sz w:val="28"/>
          <w:szCs w:val="28"/>
        </w:rPr>
        <w:t>Оштинское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3F3C" w:rsidRPr="00B13F3C">
        <w:rPr>
          <w:rFonts w:ascii="Times New Roman" w:hAnsi="Times New Roman"/>
          <w:b/>
          <w:sz w:val="28"/>
          <w:szCs w:val="28"/>
        </w:rPr>
        <w:t>«Об утверждении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</w:t>
      </w:r>
      <w:r w:rsidR="00B13F3C">
        <w:rPr>
          <w:rFonts w:ascii="Times New Roman" w:hAnsi="Times New Roman"/>
          <w:b/>
          <w:sz w:val="28"/>
          <w:szCs w:val="28"/>
        </w:rPr>
        <w:t>6</w:t>
      </w:r>
      <w:r w:rsidR="00B13F3C" w:rsidRPr="00B13F3C">
        <w:rPr>
          <w:rFonts w:ascii="Times New Roman" w:hAnsi="Times New Roman"/>
          <w:b/>
          <w:sz w:val="28"/>
          <w:szCs w:val="28"/>
        </w:rPr>
        <w:t>-20</w:t>
      </w:r>
      <w:r w:rsidR="00B13F3C">
        <w:rPr>
          <w:rFonts w:ascii="Times New Roman" w:hAnsi="Times New Roman"/>
          <w:b/>
          <w:sz w:val="28"/>
          <w:szCs w:val="28"/>
        </w:rPr>
        <w:t>30</w:t>
      </w:r>
      <w:r w:rsidR="00B13F3C" w:rsidRPr="00B13F3C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727511" w:rsidRDefault="001C113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F3C">
        <w:rPr>
          <w:rFonts w:ascii="Times New Roman" w:hAnsi="Times New Roman"/>
          <w:sz w:val="28"/>
          <w:szCs w:val="28"/>
        </w:rPr>
        <w:t>6</w:t>
      </w:r>
      <w:r w:rsidR="007A6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A65B7">
        <w:rPr>
          <w:rFonts w:ascii="Times New Roman" w:hAnsi="Times New Roman"/>
          <w:sz w:val="28"/>
          <w:szCs w:val="28"/>
        </w:rPr>
        <w:t>.2023 г.                                                                                 г. Вытегра</w:t>
      </w:r>
    </w:p>
    <w:p w:rsidR="00BB584B" w:rsidRDefault="007A65B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B13F3C" w:rsidRPr="00B13F3C">
        <w:rPr>
          <w:rFonts w:ascii="Times New Roman" w:hAnsi="Times New Roman"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2026-2030 годы</w:t>
      </w:r>
      <w:r w:rsidRPr="00B13F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727511" w:rsidRDefault="007A65B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пункт 7 части 2 статьи 9 Федерального закона от 07.02.2011 № 6 –ФЗ </w:t>
      </w:r>
      <w:r w:rsidR="001C1130" w:rsidRPr="001C1130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/>
          <w:sz w:val="28"/>
          <w:szCs w:val="28"/>
        </w:rPr>
        <w:t>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28</w:t>
      </w:r>
      <w:r>
        <w:rPr>
          <w:rFonts w:ascii="Times New Roman" w:hAnsi="Times New Roman"/>
          <w:sz w:val="28"/>
          <w:szCs w:val="28"/>
          <w:lang w:eastAsia="ru-RU"/>
        </w:rPr>
        <w:t>.06.2023 года № 660</w:t>
      </w:r>
      <w:r>
        <w:rPr>
          <w:rFonts w:ascii="Times New Roman" w:hAnsi="Times New Roman"/>
          <w:sz w:val="28"/>
          <w:szCs w:val="28"/>
        </w:rPr>
        <w:t>.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F3C" w:rsidRPr="00B13F3C">
        <w:rPr>
          <w:rFonts w:ascii="Times New Roman" w:hAnsi="Times New Roman"/>
          <w:sz w:val="28"/>
          <w:szCs w:val="28"/>
        </w:rPr>
        <w:t>подтверждение соответствия муниципальной программы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в сфере социальной политики на территории муниципального образования,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727511" w:rsidRDefault="007A65B7">
      <w:pPr>
        <w:tabs>
          <w:tab w:val="left" w:pos="0"/>
        </w:tabs>
        <w:spacing w:after="11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Предмет экспертизы:</w:t>
      </w:r>
      <w:r>
        <w:rPr>
          <w:rFonts w:ascii="Times New Roman" w:hAnsi="Times New Roman"/>
          <w:sz w:val="28"/>
          <w:szCs w:val="28"/>
        </w:rPr>
        <w:t xml:space="preserve"> проект муниципальной программы. 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>
        <w:rPr>
          <w:rFonts w:ascii="Times New Roman" w:hAnsi="Times New Roman"/>
          <w:sz w:val="28"/>
          <w:szCs w:val="28"/>
        </w:rPr>
        <w:t>ответственный исполнитель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– Администрация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 поселения).  </w:t>
      </w:r>
    </w:p>
    <w:p w:rsidR="00727511" w:rsidRDefault="007A65B7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>
        <w:rPr>
          <w:rFonts w:ascii="Times New Roman" w:hAnsi="Times New Roman"/>
          <w:sz w:val="28"/>
          <w:szCs w:val="28"/>
        </w:rPr>
        <w:t>от 10.08.2020 г. № 77 «Об утверждении Порядка разработки, реализации и оценки эффективности реализации муниципальных программ сельского поселения Оштинское»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кодекса Российской Федерации.  </w:t>
      </w:r>
    </w:p>
    <w:p w:rsidR="00727511" w:rsidRDefault="007A65B7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7.Экспертиза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>Согласно статьи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муниципальным правовым актом администрации муниципального образования.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ими порядке.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указанных программ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>
        <w:rPr>
          <w:rFonts w:ascii="Times New Roman" w:hAnsi="Times New Roman"/>
          <w:sz w:val="28"/>
          <w:szCs w:val="28"/>
        </w:rPr>
        <w:t>от 10.08.2020 г. № 77 «Об утверждении Порядка разработки, реализации и оценки эффективности реализации муниципальных программ сельского поселения Оштинское».</w:t>
      </w:r>
    </w:p>
    <w:p w:rsidR="00727511" w:rsidRDefault="007A6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постановления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592330" w:rsidRPr="00B13F3C">
        <w:rPr>
          <w:rFonts w:ascii="Times New Roman" w:hAnsi="Times New Roman"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2026-2030 годы»</w:t>
      </w:r>
      <w:r w:rsidR="00592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Программу). </w:t>
      </w:r>
    </w:p>
    <w:p w:rsidR="00297644" w:rsidRDefault="00297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реализацию мероприятий по </w:t>
      </w:r>
      <w:r w:rsidR="00592330">
        <w:rPr>
          <w:rFonts w:ascii="Times New Roman" w:hAnsi="Times New Roman"/>
          <w:sz w:val="28"/>
          <w:szCs w:val="28"/>
        </w:rPr>
        <w:t>организации досуга населения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92330">
        <w:rPr>
          <w:rFonts w:ascii="Times New Roman" w:hAnsi="Times New Roman"/>
          <w:sz w:val="28"/>
          <w:szCs w:val="28"/>
        </w:rPr>
        <w:t>библиотечному обслуживанию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592330">
        <w:rPr>
          <w:rFonts w:ascii="Times New Roman" w:hAnsi="Times New Roman"/>
          <w:sz w:val="28"/>
          <w:szCs w:val="28"/>
        </w:rPr>
        <w:t xml:space="preserve">развитию физической культуры и спорта, </w:t>
      </w:r>
      <w:r w:rsidR="00690885">
        <w:rPr>
          <w:rFonts w:ascii="Times New Roman" w:hAnsi="Times New Roman"/>
          <w:sz w:val="28"/>
          <w:szCs w:val="28"/>
        </w:rPr>
        <w:t xml:space="preserve">по работе с молодежью, предоставление дополнительных мер поддержки отдельным категориям граждан.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511" w:rsidRDefault="007A65B7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14 Федерального закона от 06.10.2003 г. № 131 –ФЗ «Об общих принципах организации местного самоуправления в Российской Федерации», статьей 3 Устава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="00327C5F" w:rsidRPr="00327C5F">
        <w:rPr>
          <w:rFonts w:ascii="Times New Roman" w:hAnsi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7C5F" w:rsidRPr="00327C5F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327C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7C5F" w:rsidRPr="00327C5F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 в поселении </w:t>
      </w:r>
      <w:r>
        <w:rPr>
          <w:rFonts w:ascii="Times New Roman" w:hAnsi="Times New Roman"/>
          <w:sz w:val="28"/>
          <w:szCs w:val="28"/>
        </w:rPr>
        <w:t xml:space="preserve">относятся к вопросам местного значения сельского поселения. </w:t>
      </w:r>
      <w:r w:rsidR="00CE5808">
        <w:rPr>
          <w:rFonts w:ascii="Times New Roman" w:hAnsi="Times New Roman"/>
          <w:sz w:val="28"/>
          <w:szCs w:val="28"/>
        </w:rPr>
        <w:t>О</w:t>
      </w:r>
      <w:r w:rsidR="00CE5808" w:rsidRPr="00CE5808">
        <w:rPr>
          <w:rFonts w:ascii="Times New Roman" w:hAnsi="Times New Roman"/>
          <w:bCs/>
          <w:sz w:val="28"/>
          <w:szCs w:val="28"/>
        </w:rPr>
        <w:t>рганизация библио</w:t>
      </w:r>
      <w:r w:rsidR="00CE5808">
        <w:rPr>
          <w:rFonts w:ascii="Times New Roman" w:hAnsi="Times New Roman"/>
          <w:bCs/>
          <w:sz w:val="28"/>
          <w:szCs w:val="28"/>
        </w:rPr>
        <w:t>течного обслуживания населения исполняется администрацией поселения на основании соглашения о передаче полномочий.</w:t>
      </w:r>
      <w:r w:rsidR="0053082D">
        <w:rPr>
          <w:rFonts w:ascii="Times New Roman" w:hAnsi="Times New Roman"/>
          <w:bCs/>
          <w:sz w:val="28"/>
          <w:szCs w:val="28"/>
        </w:rPr>
        <w:t xml:space="preserve"> Согласно части 5 статьи 20</w:t>
      </w:r>
      <w:r w:rsidR="0053082D" w:rsidRPr="0053082D">
        <w:rPr>
          <w:rFonts w:ascii="Times New Roman" w:hAnsi="Times New Roman"/>
          <w:sz w:val="28"/>
          <w:szCs w:val="28"/>
        </w:rPr>
        <w:t xml:space="preserve"> </w:t>
      </w:r>
      <w:r w:rsidR="0053082D" w:rsidRPr="0053082D">
        <w:rPr>
          <w:rFonts w:ascii="Times New Roman" w:hAnsi="Times New Roman"/>
          <w:bCs/>
          <w:sz w:val="28"/>
          <w:szCs w:val="28"/>
        </w:rPr>
        <w:t xml:space="preserve">Федерального закона от 06.10.2003 </w:t>
      </w:r>
      <w:r w:rsidR="0053082D" w:rsidRPr="0053082D">
        <w:rPr>
          <w:rFonts w:ascii="Times New Roman" w:hAnsi="Times New Roman"/>
          <w:bCs/>
          <w:sz w:val="28"/>
          <w:szCs w:val="28"/>
        </w:rPr>
        <w:t xml:space="preserve">№ 131-ФЗ </w:t>
      </w:r>
      <w:r w:rsidR="0053082D" w:rsidRPr="0053082D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3082D">
        <w:rPr>
          <w:rFonts w:ascii="Times New Roman" w:hAnsi="Times New Roman"/>
          <w:bCs/>
          <w:sz w:val="28"/>
          <w:szCs w:val="28"/>
        </w:rPr>
        <w:t xml:space="preserve">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</w:t>
      </w:r>
      <w:r>
        <w:rPr>
          <w:rFonts w:ascii="Times New Roman" w:hAnsi="Times New Roman"/>
          <w:sz w:val="28"/>
          <w:szCs w:val="28"/>
        </w:rPr>
        <w:t xml:space="preserve">Таким образом, реализация мероприятий Программы осуществляется в пределах полномочий органа местного самоуправления. </w:t>
      </w:r>
    </w:p>
    <w:p w:rsidR="00727511" w:rsidRDefault="007A65B7">
      <w:pPr>
        <w:tabs>
          <w:tab w:val="left" w:pos="0"/>
          <w:tab w:val="left" w:pos="567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tbl>
      <w:tblPr>
        <w:tblStyle w:val="af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727511">
        <w:trPr>
          <w:trHeight w:val="324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7511">
        <w:trPr>
          <w:trHeight w:val="497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 надлежащее оформление паспорта муниципальной программы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02" w:type="dxa"/>
          </w:tcPr>
          <w:p w:rsidR="00727511" w:rsidRPr="00953D7C" w:rsidRDefault="00953D7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7C">
              <w:rPr>
                <w:rFonts w:ascii="Times New Roman" w:hAnsi="Times New Roman"/>
                <w:sz w:val="20"/>
                <w:szCs w:val="20"/>
              </w:rPr>
              <w:t>Имеются недостатки технического характера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сферы реализации Программы отражена в текстовой части Программы. </w:t>
            </w:r>
          </w:p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9DD" w:rsidRDefault="000959DD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Соответствует.</w:t>
            </w: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Программы 2026-2030 годы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511" w:rsidRDefault="0072751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Программы запланировано за счет собственных средств бюджета поселения. Также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разработана прогнозная оценка привлечения средств из областного бюджета. </w:t>
            </w:r>
          </w:p>
        </w:tc>
      </w:tr>
      <w:tr w:rsidR="00727511">
        <w:trPr>
          <w:trHeight w:val="726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не предусмотрены.</w:t>
            </w:r>
          </w:p>
        </w:tc>
      </w:tr>
      <w:tr w:rsidR="00727511">
        <w:trPr>
          <w:trHeight w:val="1865"/>
        </w:trPr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мероприятий Программы отражена в текстовой части Программы. </w:t>
            </w:r>
          </w:p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7511" w:rsidRDefault="0072751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402" w:type="dxa"/>
          </w:tcPr>
          <w:p w:rsidR="00727511" w:rsidRDefault="008D0E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Требуют поправок технического характера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Постановлением </w:t>
            </w:r>
            <w:r w:rsidR="008D0E0B" w:rsidRPr="008D0E0B">
              <w:rPr>
                <w:rFonts w:ascii="Times New Roman" w:hAnsi="Times New Roman"/>
                <w:sz w:val="20"/>
                <w:szCs w:val="20"/>
              </w:rPr>
              <w:t>10.08.2020 г. № 77</w:t>
            </w:r>
          </w:p>
        </w:tc>
      </w:tr>
      <w:tr w:rsidR="00727511">
        <w:tc>
          <w:tcPr>
            <w:tcW w:w="3686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268" w:type="dxa"/>
          </w:tcPr>
          <w:p w:rsidR="00727511" w:rsidRDefault="007A65B7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7511" w:rsidRDefault="007A65B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Постановлением </w:t>
            </w:r>
            <w:r w:rsidR="008D0E0B" w:rsidRPr="008D0E0B">
              <w:rPr>
                <w:rFonts w:ascii="Times New Roman" w:hAnsi="Times New Roman"/>
                <w:sz w:val="20"/>
                <w:szCs w:val="20"/>
              </w:rPr>
              <w:t>10.08.2020 г. № 77</w:t>
            </w:r>
          </w:p>
        </w:tc>
      </w:tr>
    </w:tbl>
    <w:p w:rsidR="00727511" w:rsidRPr="00AB56EF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B56EF">
        <w:rPr>
          <w:rFonts w:ascii="Times New Roman" w:hAnsi="Times New Roman"/>
          <w:sz w:val="28"/>
          <w:szCs w:val="28"/>
        </w:rPr>
        <w:t xml:space="preserve">Экспертиза показала, что муниципальная программа в целом </w:t>
      </w:r>
      <w:r w:rsidRPr="00AB56E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Pr="00AB56EF"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реализации муниципальных программ, утвержденному постановлением администрации сельского поселения </w:t>
      </w:r>
      <w:r w:rsidR="001C1130" w:rsidRPr="00AB56EF">
        <w:rPr>
          <w:rFonts w:ascii="Times New Roman" w:hAnsi="Times New Roman"/>
          <w:sz w:val="28"/>
          <w:szCs w:val="28"/>
        </w:rPr>
        <w:t>Оштинское</w:t>
      </w:r>
      <w:r w:rsidRPr="00AB56EF">
        <w:rPr>
          <w:rFonts w:ascii="Times New Roman" w:hAnsi="Times New Roman"/>
          <w:sz w:val="28"/>
          <w:szCs w:val="28"/>
        </w:rPr>
        <w:t xml:space="preserve"> от </w:t>
      </w:r>
      <w:r w:rsidR="008D0E0B" w:rsidRPr="00AB56EF">
        <w:rPr>
          <w:rFonts w:ascii="Times New Roman" w:hAnsi="Times New Roman"/>
          <w:sz w:val="28"/>
          <w:szCs w:val="28"/>
          <w:lang w:eastAsia="ru-RU"/>
        </w:rPr>
        <w:t xml:space="preserve">10.08.2020 г. № 77 </w:t>
      </w:r>
      <w:r w:rsidRPr="00AB56EF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r w:rsidR="001C1130" w:rsidRPr="00AB56EF">
        <w:rPr>
          <w:rFonts w:ascii="Times New Roman" w:hAnsi="Times New Roman"/>
          <w:sz w:val="28"/>
          <w:szCs w:val="28"/>
        </w:rPr>
        <w:t>Оштинское</w:t>
      </w:r>
      <w:r w:rsidRPr="00AB56EF">
        <w:rPr>
          <w:rFonts w:ascii="Times New Roman" w:hAnsi="Times New Roman"/>
          <w:sz w:val="28"/>
          <w:szCs w:val="28"/>
        </w:rPr>
        <w:t xml:space="preserve">», </w:t>
      </w:r>
      <w:r w:rsidRPr="00AB56EF">
        <w:rPr>
          <w:rFonts w:ascii="Times New Roman" w:hAnsi="Times New Roman"/>
          <w:sz w:val="28"/>
          <w:szCs w:val="28"/>
          <w:u w:val="single"/>
        </w:rPr>
        <w:t xml:space="preserve">но имеются </w:t>
      </w:r>
      <w:r w:rsidR="00BB584B">
        <w:rPr>
          <w:rFonts w:ascii="Times New Roman" w:hAnsi="Times New Roman"/>
          <w:sz w:val="28"/>
          <w:szCs w:val="28"/>
          <w:u w:val="single"/>
        </w:rPr>
        <w:t xml:space="preserve">нарушения Порядка </w:t>
      </w:r>
      <w:r w:rsidR="00BB584B">
        <w:rPr>
          <w:rFonts w:ascii="Times New Roman" w:hAnsi="Times New Roman"/>
          <w:sz w:val="28"/>
          <w:szCs w:val="28"/>
          <w:u w:val="single"/>
        </w:rPr>
        <w:t xml:space="preserve">и </w:t>
      </w:r>
      <w:bookmarkStart w:id="0" w:name="_GoBack"/>
      <w:bookmarkEnd w:id="0"/>
      <w:r w:rsidRPr="00AB56EF">
        <w:rPr>
          <w:rFonts w:ascii="Times New Roman" w:hAnsi="Times New Roman"/>
          <w:sz w:val="28"/>
          <w:szCs w:val="28"/>
          <w:u w:val="single"/>
        </w:rPr>
        <w:t xml:space="preserve">технические недочеты.   </w:t>
      </w:r>
    </w:p>
    <w:p w:rsidR="00727511" w:rsidRPr="00AB56EF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 xml:space="preserve">        Муниципальная программа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области, Вытегорского района и муниципального образования в сфере </w:t>
      </w:r>
      <w:r w:rsidR="008A014C" w:rsidRPr="00AB56EF">
        <w:rPr>
          <w:rFonts w:ascii="Times New Roman" w:hAnsi="Times New Roman"/>
          <w:sz w:val="28"/>
          <w:szCs w:val="28"/>
        </w:rPr>
        <w:t>социальной политики</w:t>
      </w:r>
      <w:r w:rsidRPr="00AB56EF">
        <w:rPr>
          <w:rFonts w:ascii="Times New Roman" w:hAnsi="Times New Roman"/>
          <w:bCs/>
          <w:sz w:val="28"/>
          <w:szCs w:val="28"/>
        </w:rPr>
        <w:t xml:space="preserve">. </w:t>
      </w:r>
      <w:r w:rsidR="00BB584B">
        <w:rPr>
          <w:rFonts w:ascii="Times New Roman" w:hAnsi="Times New Roman"/>
          <w:bCs/>
          <w:sz w:val="28"/>
          <w:szCs w:val="28"/>
        </w:rPr>
        <w:t>П</w:t>
      </w:r>
      <w:r w:rsidRPr="00AB56EF">
        <w:rPr>
          <w:rFonts w:ascii="Times New Roman" w:hAnsi="Times New Roman"/>
          <w:sz w:val="28"/>
          <w:szCs w:val="28"/>
        </w:rPr>
        <w:t xml:space="preserve">рограмма принята для решения актуальных для сельского поселения </w:t>
      </w:r>
      <w:r w:rsidR="001C1130" w:rsidRPr="00AB56EF">
        <w:rPr>
          <w:rFonts w:ascii="Times New Roman" w:hAnsi="Times New Roman"/>
          <w:sz w:val="28"/>
          <w:szCs w:val="28"/>
        </w:rPr>
        <w:t>Оштинское</w:t>
      </w:r>
      <w:r w:rsidRPr="00AB56EF">
        <w:rPr>
          <w:rFonts w:ascii="Times New Roman" w:hAnsi="Times New Roman"/>
          <w:sz w:val="28"/>
          <w:szCs w:val="28"/>
        </w:rPr>
        <w:t xml:space="preserve"> проблем, решение которых программным методом является целесообразным и необходимым. </w:t>
      </w:r>
    </w:p>
    <w:p w:rsidR="00727511" w:rsidRPr="00AB56EF" w:rsidRDefault="007A6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 xml:space="preserve">        Цель муниципальной программы: </w:t>
      </w:r>
      <w:r w:rsidR="0057330F" w:rsidRPr="00AB56EF">
        <w:rPr>
          <w:rFonts w:ascii="Times New Roman" w:hAnsi="Times New Roman"/>
          <w:sz w:val="28"/>
          <w:szCs w:val="28"/>
        </w:rPr>
        <w:t>сохранение и развитие культуры, спорта и молодежной политики как существенных составляющих человеческого капитала, имеющих значительное влияние на успешное социально-экономическое развитие сельского поселения и снижение ограничений в социальной политике на территории сельского поселения Оштинское.</w:t>
      </w:r>
      <w:r w:rsidRPr="00AB56EF">
        <w:rPr>
          <w:rFonts w:ascii="Times New Roman" w:hAnsi="Times New Roman"/>
          <w:sz w:val="28"/>
          <w:szCs w:val="28"/>
        </w:rPr>
        <w:t xml:space="preserve">  </w:t>
      </w:r>
    </w:p>
    <w:p w:rsidR="00727511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 xml:space="preserve">        </w:t>
      </w:r>
      <w:r w:rsidR="007A65B7" w:rsidRPr="00AB56EF">
        <w:rPr>
          <w:rFonts w:ascii="Times New Roman" w:hAnsi="Times New Roman"/>
          <w:sz w:val="28"/>
          <w:szCs w:val="28"/>
        </w:rPr>
        <w:t xml:space="preserve">Цель Программы соответствуют ожидаемым конечным результатам и может быть достигнута за период реализации Программы. </w:t>
      </w:r>
    </w:p>
    <w:p w:rsidR="00727511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 xml:space="preserve">        </w:t>
      </w:r>
      <w:r w:rsidR="007A65B7" w:rsidRPr="00AB56EF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AB56EF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>-обеспечение развития творческого потенциала и организация досуга населения; </w:t>
      </w:r>
    </w:p>
    <w:p w:rsidR="00AB56EF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>- создание условий для организации библиотечного обслуживания населения и обеспечения граждан равным и свободным доступом к информации;</w:t>
      </w:r>
    </w:p>
    <w:p w:rsidR="00AB56EF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lastRenderedPageBreak/>
        <w:t>-создание условий для развития физической культуры и спорта, организации проведения официальных физкультурных мероприятий, физкультурно-оздоровительных мероприятий и спортивных мероприятий;</w:t>
      </w:r>
    </w:p>
    <w:p w:rsidR="00AB56EF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>-создание условий для формирования патриотических чувств и сознания граждан, развитие у них высокой социальной активности, гражданской ответственности, способности проявить себя в укреплении государства, обеспечении его жизненно важных интересов и устойчивого развития;</w:t>
      </w:r>
    </w:p>
    <w:p w:rsidR="00AB56EF" w:rsidRPr="00AB56EF" w:rsidRDefault="00AB56EF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6EF">
        <w:rPr>
          <w:rFonts w:ascii="Times New Roman" w:hAnsi="Times New Roman"/>
          <w:sz w:val="28"/>
          <w:szCs w:val="28"/>
        </w:rPr>
        <w:t>- создание условий для улучшения социального положения граждан старшего поколения.</w:t>
      </w:r>
    </w:p>
    <w:p w:rsidR="00727511" w:rsidRDefault="007A65B7" w:rsidP="00AB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Сформулированные задачи необходимы и достаточны для достижения цели Программы.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5170">
        <w:rPr>
          <w:rFonts w:ascii="Times New Roman" w:hAnsi="Times New Roman"/>
          <w:sz w:val="28"/>
          <w:szCs w:val="28"/>
        </w:rPr>
        <w:t>Целевые показатели Программы соответствуют требованиям, изложенным в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27511" w:rsidRDefault="007A6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На решение каждой задачи направлено одно основное мероприятие.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7511" w:rsidRDefault="007A65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– </w:t>
      </w:r>
      <w:r w:rsidR="00AB56EF">
        <w:rPr>
          <w:rFonts w:ascii="Times New Roman" w:hAnsi="Times New Roman"/>
          <w:sz w:val="28"/>
          <w:szCs w:val="28"/>
        </w:rPr>
        <w:t>41432,5</w:t>
      </w:r>
      <w:r>
        <w:rPr>
          <w:rFonts w:ascii="Times New Roman" w:hAnsi="Times New Roman"/>
          <w:sz w:val="28"/>
          <w:szCs w:val="28"/>
        </w:rPr>
        <w:t xml:space="preserve"> тыс. рублей, ежегодно </w:t>
      </w:r>
      <w:r w:rsidR="002251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B56EF">
        <w:rPr>
          <w:rFonts w:ascii="Times New Roman" w:hAnsi="Times New Roman"/>
          <w:sz w:val="28"/>
          <w:szCs w:val="28"/>
        </w:rPr>
        <w:t>8286,5</w:t>
      </w:r>
      <w:r>
        <w:rPr>
          <w:rFonts w:ascii="Times New Roman" w:hAnsi="Times New Roman"/>
          <w:sz w:val="28"/>
          <w:szCs w:val="28"/>
        </w:rPr>
        <w:t xml:space="preserve"> тыс. рублей. Источник финансирования – бюджет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(собственные средства бюджета). Проектом Программы предусмотрены объемы привлечения дополнительных средств за счет средств областного бюджета ежегодно </w:t>
      </w:r>
      <w:r w:rsidR="00AB56EF">
        <w:rPr>
          <w:rFonts w:ascii="Times New Roman" w:hAnsi="Times New Roman"/>
          <w:sz w:val="28"/>
          <w:szCs w:val="28"/>
        </w:rPr>
        <w:t>2905,5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27511" w:rsidRDefault="007A65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779B">
        <w:rPr>
          <w:rFonts w:ascii="Times New Roman" w:hAnsi="Times New Roman"/>
          <w:sz w:val="28"/>
          <w:szCs w:val="28"/>
        </w:rPr>
        <w:t>Анализ финансового обеспечени</w:t>
      </w:r>
      <w:r w:rsidR="002149B0">
        <w:rPr>
          <w:rFonts w:ascii="Times New Roman" w:hAnsi="Times New Roman"/>
          <w:sz w:val="28"/>
          <w:szCs w:val="28"/>
        </w:rPr>
        <w:t>я показал</w:t>
      </w:r>
      <w:r w:rsidR="002149B0" w:rsidRPr="002149B0">
        <w:rPr>
          <w:rFonts w:ascii="Times New Roman" w:hAnsi="Times New Roman"/>
          <w:sz w:val="28"/>
          <w:szCs w:val="28"/>
        </w:rPr>
        <w:t>:</w:t>
      </w:r>
      <w:r w:rsidR="002149B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бъемы финансового обеспечения в разрезе основных мероприятий определены по образцу финансового обеспечения аналогичных основных мероприятий муниципальной программы </w:t>
      </w:r>
      <w:r w:rsidR="00E6696B" w:rsidRPr="00B13F3C">
        <w:rPr>
          <w:rFonts w:ascii="Times New Roman" w:hAnsi="Times New Roman"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</w:t>
      </w:r>
      <w:r w:rsidR="00E6696B">
        <w:rPr>
          <w:rFonts w:ascii="Times New Roman" w:hAnsi="Times New Roman"/>
          <w:sz w:val="28"/>
          <w:szCs w:val="28"/>
        </w:rPr>
        <w:t>1</w:t>
      </w:r>
      <w:r w:rsidR="00E6696B" w:rsidRPr="00B13F3C">
        <w:rPr>
          <w:rFonts w:ascii="Times New Roman" w:hAnsi="Times New Roman"/>
          <w:sz w:val="28"/>
          <w:szCs w:val="28"/>
        </w:rPr>
        <w:t>-20</w:t>
      </w:r>
      <w:r w:rsidR="00E6696B">
        <w:rPr>
          <w:rFonts w:ascii="Times New Roman" w:hAnsi="Times New Roman"/>
          <w:sz w:val="28"/>
          <w:szCs w:val="28"/>
        </w:rPr>
        <w:t>25</w:t>
      </w:r>
      <w:r w:rsidR="00E6696B" w:rsidRPr="00B13F3C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E6696B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202</w:t>
      </w:r>
      <w:r w:rsidR="00E669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бюджета поселения на 2023 -2025 годы. Исходя из этого можно сделать вывод о достаточности финансового обеспечения Программы для достижения целей и ожидаемых результатов муниципальной программы. </w:t>
      </w:r>
    </w:p>
    <w:p w:rsidR="00727511" w:rsidRPr="00E6696B" w:rsidRDefault="007A65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Ревизионная комиссия рекомендует</w:t>
      </w:r>
      <w:r w:rsidRPr="00E6696B">
        <w:rPr>
          <w:rFonts w:ascii="Times New Roman" w:hAnsi="Times New Roman"/>
          <w:sz w:val="28"/>
          <w:szCs w:val="28"/>
        </w:rPr>
        <w:t>:</w:t>
      </w:r>
    </w:p>
    <w:p w:rsidR="006E565F" w:rsidRDefault="006E565F" w:rsidP="006E565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позици</w:t>
      </w:r>
      <w:r w:rsidR="009C6B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паспорта Программы «Соисполнители программы»</w:t>
      </w:r>
      <w:r w:rsidR="00E6696B">
        <w:rPr>
          <w:rFonts w:ascii="Times New Roman" w:hAnsi="Times New Roman"/>
          <w:sz w:val="28"/>
          <w:szCs w:val="28"/>
        </w:rPr>
        <w:t xml:space="preserve"> </w:t>
      </w:r>
      <w:r w:rsidR="009C6B14">
        <w:rPr>
          <w:rFonts w:ascii="Times New Roman" w:hAnsi="Times New Roman"/>
          <w:sz w:val="28"/>
          <w:szCs w:val="28"/>
        </w:rPr>
        <w:t xml:space="preserve">указать слово «отсутствуют» </w:t>
      </w:r>
      <w:r>
        <w:rPr>
          <w:rFonts w:ascii="Times New Roman" w:hAnsi="Times New Roman"/>
          <w:sz w:val="28"/>
          <w:szCs w:val="28"/>
        </w:rPr>
        <w:t>(пункт 3.3 Порядка)</w:t>
      </w:r>
      <w:r w:rsidRPr="006E565F">
        <w:rPr>
          <w:rFonts w:ascii="Times New Roman" w:hAnsi="Times New Roman"/>
          <w:sz w:val="28"/>
          <w:szCs w:val="28"/>
        </w:rPr>
        <w:t>;</w:t>
      </w:r>
    </w:p>
    <w:p w:rsidR="00E6696B" w:rsidRPr="00E6696B" w:rsidRDefault="006E565F" w:rsidP="00E6696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позиции паспорта </w:t>
      </w:r>
      <w:r w:rsidR="00E6696B">
        <w:rPr>
          <w:rFonts w:ascii="Times New Roman" w:hAnsi="Times New Roman"/>
          <w:sz w:val="28"/>
          <w:szCs w:val="28"/>
        </w:rPr>
        <w:t>«</w:t>
      </w:r>
      <w:r w:rsidR="00E6696B">
        <w:rPr>
          <w:rFonts w:ascii="Times New Roman" w:hAnsi="Times New Roman"/>
          <w:sz w:val="28"/>
          <w:szCs w:val="28"/>
        </w:rPr>
        <w:t>Участники программы» слова «</w:t>
      </w:r>
      <w:r w:rsidR="00E6696B" w:rsidRPr="00E6696B">
        <w:rPr>
          <w:rFonts w:ascii="Times New Roman" w:hAnsi="Times New Roman"/>
          <w:sz w:val="28"/>
          <w:szCs w:val="28"/>
        </w:rPr>
        <w:t>Администраци</w:t>
      </w:r>
      <w:r w:rsidR="00E6696B">
        <w:rPr>
          <w:rFonts w:ascii="Times New Roman" w:hAnsi="Times New Roman"/>
          <w:sz w:val="28"/>
          <w:szCs w:val="28"/>
        </w:rPr>
        <w:t xml:space="preserve">я сельского поселения Оштинское» </w:t>
      </w:r>
      <w:r w:rsidR="00E6696B" w:rsidRPr="00E6696B">
        <w:rPr>
          <w:rFonts w:ascii="Times New Roman" w:hAnsi="Times New Roman"/>
          <w:sz w:val="28"/>
          <w:szCs w:val="28"/>
        </w:rPr>
        <w:t>казенное учреждение культуры сельского поселения Оштинское «Центр досуга «Мегра»</w:t>
      </w:r>
      <w:r w:rsidR="00E6696B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E6696B" w:rsidRPr="00E6696B">
        <w:rPr>
          <w:rFonts w:ascii="Times New Roman" w:hAnsi="Times New Roman"/>
          <w:sz w:val="28"/>
          <w:szCs w:val="28"/>
        </w:rPr>
        <w:t>казенное учреждение культуры сельского поселения Оштинское «Центр досуга «Мегра»</w:t>
      </w:r>
      <w:r w:rsidR="00E6696B" w:rsidRPr="00E6696B">
        <w:rPr>
          <w:rFonts w:ascii="Times New Roman" w:hAnsi="Times New Roman"/>
          <w:sz w:val="28"/>
          <w:szCs w:val="28"/>
        </w:rPr>
        <w:t>;</w:t>
      </w:r>
    </w:p>
    <w:p w:rsidR="00877642" w:rsidRDefault="009C6B14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целевой показатель «проведение культурно – просветительских, информационных мероприятий для населения» </w:t>
      </w:r>
      <w:r w:rsidR="00877642">
        <w:rPr>
          <w:rFonts w:ascii="Times New Roman" w:hAnsi="Times New Roman"/>
          <w:sz w:val="28"/>
          <w:szCs w:val="28"/>
        </w:rPr>
        <w:t xml:space="preserve">требует уточнения (либо исключить) так как </w:t>
      </w:r>
      <w:r>
        <w:rPr>
          <w:rFonts w:ascii="Times New Roman" w:hAnsi="Times New Roman"/>
          <w:sz w:val="28"/>
          <w:szCs w:val="28"/>
        </w:rPr>
        <w:t>дублирует показатель «число культурно – досуговых мероприятий»</w:t>
      </w:r>
      <w:r w:rsidR="00877642">
        <w:rPr>
          <w:rFonts w:ascii="Times New Roman" w:hAnsi="Times New Roman"/>
          <w:sz w:val="28"/>
          <w:szCs w:val="28"/>
        </w:rPr>
        <w:t>, в случае изменения формулировки поправить в паспорте, текстовой части и в таблицах Программы</w:t>
      </w:r>
      <w:r w:rsidR="00877642" w:rsidRPr="00877642">
        <w:rPr>
          <w:rFonts w:ascii="Times New Roman" w:hAnsi="Times New Roman"/>
          <w:sz w:val="28"/>
          <w:szCs w:val="28"/>
        </w:rPr>
        <w:t>;</w:t>
      </w:r>
    </w:p>
    <w:p w:rsidR="001D4D60" w:rsidRDefault="00877642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AB1D0C">
        <w:rPr>
          <w:rFonts w:ascii="Times New Roman" w:hAnsi="Times New Roman"/>
          <w:sz w:val="28"/>
          <w:szCs w:val="28"/>
        </w:rPr>
        <w:t>позиции паспорта «Ожидаемые результаты реализации программы»</w:t>
      </w:r>
      <w:r w:rsidR="00BF4684">
        <w:rPr>
          <w:rFonts w:ascii="Times New Roman" w:hAnsi="Times New Roman"/>
          <w:sz w:val="28"/>
          <w:szCs w:val="28"/>
        </w:rPr>
        <w:t xml:space="preserve"> </w:t>
      </w:r>
      <w:r w:rsidR="001D4D60">
        <w:rPr>
          <w:rFonts w:ascii="Times New Roman" w:hAnsi="Times New Roman"/>
          <w:sz w:val="28"/>
          <w:szCs w:val="28"/>
        </w:rPr>
        <w:t>ожидаемые результаты установить в таком же порядке, как установлены соответствующие целевые показатели</w:t>
      </w:r>
      <w:r w:rsidR="001D4D60" w:rsidRPr="001D4D60">
        <w:rPr>
          <w:rFonts w:ascii="Times New Roman" w:hAnsi="Times New Roman"/>
          <w:sz w:val="28"/>
          <w:szCs w:val="28"/>
        </w:rPr>
        <w:t>;</w:t>
      </w:r>
    </w:p>
    <w:p w:rsidR="00BE2033" w:rsidRDefault="001D4D60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 дополнить значениями</w:t>
      </w:r>
      <w:r w:rsidR="00BE2033" w:rsidRPr="00BE2033">
        <w:rPr>
          <w:rFonts w:ascii="Times New Roman" w:hAnsi="Times New Roman"/>
          <w:sz w:val="28"/>
          <w:szCs w:val="28"/>
        </w:rPr>
        <w:t>;</w:t>
      </w:r>
    </w:p>
    <w:p w:rsidR="00BE2033" w:rsidRDefault="00BE2033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для целевых показателей «</w:t>
      </w:r>
      <w:r w:rsidR="00B1186D">
        <w:rPr>
          <w:rFonts w:ascii="Times New Roman" w:hAnsi="Times New Roman"/>
          <w:sz w:val="28"/>
          <w:szCs w:val="28"/>
        </w:rPr>
        <w:t>ч</w:t>
      </w:r>
      <w:r w:rsidRPr="00BE2033">
        <w:rPr>
          <w:rFonts w:ascii="Times New Roman" w:hAnsi="Times New Roman"/>
          <w:sz w:val="28"/>
          <w:szCs w:val="28"/>
        </w:rPr>
        <w:t xml:space="preserve">исло культурно - </w:t>
      </w:r>
      <w:r>
        <w:rPr>
          <w:rFonts w:ascii="Times New Roman" w:hAnsi="Times New Roman"/>
          <w:sz w:val="28"/>
          <w:szCs w:val="28"/>
        </w:rPr>
        <w:t>досуговых мероприятий», «</w:t>
      </w:r>
      <w:r w:rsidRPr="00BE2033">
        <w:rPr>
          <w:rFonts w:ascii="Times New Roman" w:hAnsi="Times New Roman"/>
          <w:sz w:val="28"/>
          <w:szCs w:val="28"/>
        </w:rPr>
        <w:t>проведение культурно-просветительских, информационных мероприятий для населения</w:t>
      </w:r>
      <w:r>
        <w:rPr>
          <w:rFonts w:ascii="Times New Roman" w:hAnsi="Times New Roman"/>
          <w:sz w:val="28"/>
          <w:szCs w:val="28"/>
        </w:rPr>
        <w:t>»</w:t>
      </w:r>
      <w:r w:rsidR="00B1186D">
        <w:rPr>
          <w:rFonts w:ascii="Times New Roman" w:hAnsi="Times New Roman"/>
          <w:sz w:val="28"/>
          <w:szCs w:val="28"/>
        </w:rPr>
        <w:t>, «</w:t>
      </w:r>
      <w:r w:rsidR="00B1186D" w:rsidRPr="00B1186D">
        <w:rPr>
          <w:rFonts w:ascii="Times New Roman" w:hAnsi="Times New Roman"/>
          <w:sz w:val="28"/>
          <w:szCs w:val="28"/>
        </w:rPr>
        <w:t>количество выданных экземпляров библиотечного фонда пользователям на 1000 жителей</w:t>
      </w:r>
      <w:r w:rsidR="00B1186D">
        <w:rPr>
          <w:rFonts w:ascii="Times New Roman" w:hAnsi="Times New Roman"/>
          <w:sz w:val="28"/>
          <w:szCs w:val="28"/>
        </w:rPr>
        <w:t>»</w:t>
      </w:r>
      <w:r w:rsidR="00B1186D" w:rsidRPr="00B11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</w:t>
      </w:r>
      <w:r w:rsidR="00B1186D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ожидаемые результаты</w:t>
      </w:r>
      <w:r w:rsidRPr="00BE2033">
        <w:rPr>
          <w:rFonts w:ascii="Times New Roman" w:hAnsi="Times New Roman"/>
          <w:sz w:val="28"/>
          <w:szCs w:val="28"/>
        </w:rPr>
        <w:t>;</w:t>
      </w:r>
    </w:p>
    <w:p w:rsidR="00B1186D" w:rsidRDefault="00B1186D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ожидаемого результата «у</w:t>
      </w:r>
      <w:r w:rsidRPr="00B1186D">
        <w:rPr>
          <w:rFonts w:ascii="Times New Roman" w:hAnsi="Times New Roman"/>
          <w:sz w:val="28"/>
          <w:szCs w:val="28"/>
        </w:rPr>
        <w:t>величение количества посещений библиотек от предыдущего года</w:t>
      </w:r>
      <w:r>
        <w:rPr>
          <w:rFonts w:ascii="Times New Roman" w:hAnsi="Times New Roman"/>
          <w:sz w:val="28"/>
          <w:szCs w:val="28"/>
        </w:rPr>
        <w:t>» сформулировать целевой показатель</w:t>
      </w:r>
      <w:r w:rsidRPr="00B1186D">
        <w:rPr>
          <w:rFonts w:ascii="Times New Roman" w:hAnsi="Times New Roman"/>
          <w:sz w:val="28"/>
          <w:szCs w:val="28"/>
        </w:rPr>
        <w:t>;</w:t>
      </w:r>
    </w:p>
    <w:p w:rsidR="00B1186D" w:rsidRDefault="00B1186D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задачи в текстовой части </w:t>
      </w:r>
      <w:r w:rsidR="00907AF2">
        <w:rPr>
          <w:rFonts w:ascii="Times New Roman" w:hAnsi="Times New Roman"/>
          <w:sz w:val="28"/>
          <w:szCs w:val="28"/>
        </w:rPr>
        <w:t xml:space="preserve">привести в соответствие с </w:t>
      </w:r>
      <w:r>
        <w:rPr>
          <w:rFonts w:ascii="Times New Roman" w:hAnsi="Times New Roman"/>
          <w:sz w:val="28"/>
          <w:szCs w:val="28"/>
        </w:rPr>
        <w:t>паспорт</w:t>
      </w:r>
      <w:r w:rsidR="00907AF2">
        <w:rPr>
          <w:rFonts w:ascii="Times New Roman" w:hAnsi="Times New Roman"/>
          <w:sz w:val="28"/>
          <w:szCs w:val="28"/>
        </w:rPr>
        <w:t>ом (пункт 3.2.2)</w:t>
      </w:r>
      <w:r w:rsidR="00907AF2" w:rsidRPr="00907AF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AF2" w:rsidRDefault="00907AF2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ожидаемые результаты </w:t>
      </w:r>
      <w:r>
        <w:rPr>
          <w:rFonts w:ascii="Times New Roman" w:hAnsi="Times New Roman"/>
          <w:sz w:val="28"/>
          <w:szCs w:val="28"/>
        </w:rPr>
        <w:t>в текстовой части привести в соответствие с паспортом</w:t>
      </w:r>
      <w:r>
        <w:rPr>
          <w:rFonts w:ascii="Times New Roman" w:hAnsi="Times New Roman"/>
          <w:sz w:val="28"/>
          <w:szCs w:val="28"/>
        </w:rPr>
        <w:t>, дополнив значениями;</w:t>
      </w:r>
    </w:p>
    <w:p w:rsidR="00907AF2" w:rsidRDefault="00907AF2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формулировки целей основных мероприятий (</w:t>
      </w:r>
      <w:r w:rsidR="00393F31">
        <w:rPr>
          <w:rFonts w:ascii="Times New Roman" w:hAnsi="Times New Roman"/>
          <w:sz w:val="28"/>
          <w:szCs w:val="28"/>
        </w:rPr>
        <w:t>для к</w:t>
      </w:r>
      <w:r>
        <w:rPr>
          <w:rFonts w:ascii="Times New Roman" w:hAnsi="Times New Roman"/>
          <w:sz w:val="28"/>
          <w:szCs w:val="28"/>
        </w:rPr>
        <w:t>аждого мероприятия о</w:t>
      </w:r>
      <w:r w:rsidR="00393F31">
        <w:rPr>
          <w:rFonts w:ascii="Times New Roman" w:hAnsi="Times New Roman"/>
          <w:sz w:val="28"/>
          <w:szCs w:val="28"/>
        </w:rPr>
        <w:t>пределена</w:t>
      </w:r>
      <w:r>
        <w:rPr>
          <w:rFonts w:ascii="Times New Roman" w:hAnsi="Times New Roman"/>
          <w:sz w:val="28"/>
          <w:szCs w:val="28"/>
        </w:rPr>
        <w:t xml:space="preserve"> одна и та же цель, </w:t>
      </w:r>
      <w:r w:rsidR="00393F31">
        <w:rPr>
          <w:rFonts w:ascii="Times New Roman" w:hAnsi="Times New Roman"/>
          <w:sz w:val="28"/>
          <w:szCs w:val="28"/>
        </w:rPr>
        <w:t>являющаяся целью Программы)</w:t>
      </w:r>
      <w:r w:rsidR="00393F31">
        <w:rPr>
          <w:rFonts w:ascii="Times New Roman" w:hAnsi="Times New Roman"/>
          <w:sz w:val="28"/>
          <w:szCs w:val="28"/>
          <w:lang w:val="en-US"/>
        </w:rPr>
        <w:t>;</w:t>
      </w:r>
    </w:p>
    <w:p w:rsidR="00393F31" w:rsidRPr="00393F31" w:rsidRDefault="00393F31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1 к Программе целевой показатель «соо</w:t>
      </w:r>
      <w:r w:rsidRPr="00393F31">
        <w:rPr>
          <w:rFonts w:ascii="Times New Roman" w:hAnsi="Times New Roman"/>
          <w:sz w:val="28"/>
          <w:szCs w:val="28"/>
        </w:rPr>
        <w:t>тношение средней заработной платы работников учреждений культуры к средней заработной плате по Вологодской области</w:t>
      </w:r>
      <w:r>
        <w:rPr>
          <w:rFonts w:ascii="Times New Roman" w:hAnsi="Times New Roman"/>
          <w:sz w:val="28"/>
          <w:szCs w:val="28"/>
        </w:rPr>
        <w:t>» привести в соответствие с паспортом Программы, исключить его дублирование (указан дважды для задачи 1 и 2)</w:t>
      </w:r>
      <w:r w:rsidRPr="00393F31">
        <w:rPr>
          <w:rFonts w:ascii="Times New Roman" w:hAnsi="Times New Roman"/>
          <w:sz w:val="28"/>
          <w:szCs w:val="28"/>
        </w:rPr>
        <w:t>;</w:t>
      </w:r>
    </w:p>
    <w:p w:rsidR="00393F31" w:rsidRDefault="00393F31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2 к Программе уточнить формулировки целевых показателей 6 и 7</w:t>
      </w:r>
      <w:r w:rsidRPr="00393F31">
        <w:rPr>
          <w:rFonts w:ascii="Times New Roman" w:hAnsi="Times New Roman"/>
          <w:sz w:val="28"/>
          <w:szCs w:val="28"/>
        </w:rPr>
        <w:t>;</w:t>
      </w:r>
    </w:p>
    <w:p w:rsidR="002E706F" w:rsidRPr="00393F31" w:rsidRDefault="002E706F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объемы финансового обеспечения по основному мероприятию 1.5 в разрезе источников в таблице приложения 4</w:t>
      </w:r>
      <w:r w:rsidRPr="002E706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F31" w:rsidRPr="00393F31" w:rsidRDefault="00393F31" w:rsidP="00A547A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06F">
        <w:rPr>
          <w:rFonts w:ascii="Times New Roman" w:hAnsi="Times New Roman"/>
          <w:sz w:val="28"/>
          <w:szCs w:val="28"/>
        </w:rPr>
        <w:t xml:space="preserve">- </w:t>
      </w:r>
      <w:r w:rsidR="002E706F">
        <w:rPr>
          <w:rFonts w:ascii="Times New Roman" w:hAnsi="Times New Roman"/>
          <w:sz w:val="28"/>
          <w:szCs w:val="28"/>
        </w:rPr>
        <w:t xml:space="preserve">уточнить объемы финансового обеспечения в таблице приложения 5   (согласно пункту 3.2.5 Порядка указываются средства, неучтенные в бюджете).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447" w:rsidRDefault="00EB772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Выводы и предложения.</w:t>
      </w: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064E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2E706F" w:rsidRPr="002E706F">
        <w:rPr>
          <w:rFonts w:ascii="Times New Roman" w:hAnsi="Times New Roman"/>
          <w:sz w:val="28"/>
          <w:szCs w:val="28"/>
        </w:rPr>
        <w:t>«Совершенствование социальной политики на территории сельского поселения Оштинское Вытегорского муниципального района Вологодской области на 2026-2030 годы»</w:t>
      </w:r>
      <w:r>
        <w:rPr>
          <w:rFonts w:ascii="Times New Roman" w:hAnsi="Times New Roman"/>
          <w:sz w:val="28"/>
          <w:szCs w:val="28"/>
        </w:rPr>
        <w:t xml:space="preserve"> соответствует требованиям Федерального закона от 06.10.2003 </w:t>
      </w:r>
      <w:r w:rsidR="00C5064E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Бюджетного кодекса Российской Федерации, Положению о бюджетном процессе в сельском поселении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, Порядку разработки, реализации и оценки эффективности реализации муниципальных программ, утвержденному постановлением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064E">
        <w:rPr>
          <w:rFonts w:ascii="Times New Roman" w:hAnsi="Times New Roman"/>
          <w:sz w:val="28"/>
          <w:szCs w:val="28"/>
        </w:rPr>
        <w:t xml:space="preserve">от </w:t>
      </w:r>
      <w:r w:rsidR="00C5064E" w:rsidRPr="008D0E0B">
        <w:rPr>
          <w:rFonts w:ascii="Times New Roman" w:hAnsi="Times New Roman"/>
          <w:sz w:val="28"/>
          <w:szCs w:val="28"/>
          <w:lang w:eastAsia="ru-RU"/>
        </w:rPr>
        <w:t>10.08.2020 г. № 77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</w:t>
      </w:r>
      <w:r w:rsidR="00C5064E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разработчику Программы рассмотреть </w:t>
      </w:r>
      <w:r w:rsidR="00C5064E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, изложенные в заключении, </w:t>
      </w:r>
      <w:r w:rsidR="00C5064E">
        <w:rPr>
          <w:rFonts w:ascii="Times New Roman" w:hAnsi="Times New Roman"/>
          <w:sz w:val="28"/>
          <w:szCs w:val="28"/>
        </w:rPr>
        <w:t>внести поправки в проект программы.</w:t>
      </w:r>
    </w:p>
    <w:p w:rsidR="00C5064E" w:rsidRDefault="00C506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О.Е. Нестерова </w:t>
      </w:r>
    </w:p>
    <w:sectPr w:rsidR="007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74" w:rsidRDefault="00F71474">
      <w:pPr>
        <w:spacing w:after="0" w:line="240" w:lineRule="auto"/>
      </w:pPr>
      <w:r>
        <w:separator/>
      </w:r>
    </w:p>
  </w:endnote>
  <w:endnote w:type="continuationSeparator" w:id="0">
    <w:p w:rsidR="00F71474" w:rsidRDefault="00F7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74" w:rsidRDefault="00F71474">
      <w:pPr>
        <w:spacing w:after="0" w:line="240" w:lineRule="auto"/>
      </w:pPr>
      <w:r>
        <w:separator/>
      </w:r>
    </w:p>
  </w:footnote>
  <w:footnote w:type="continuationSeparator" w:id="0">
    <w:p w:rsidR="00F71474" w:rsidRDefault="00F7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666"/>
    <w:multiLevelType w:val="hybridMultilevel"/>
    <w:tmpl w:val="F5320394"/>
    <w:lvl w:ilvl="0" w:tplc="AF5020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FF2270DE">
      <w:start w:val="1"/>
      <w:numFmt w:val="decimal"/>
      <w:lvlText w:val=""/>
      <w:lvlJc w:val="left"/>
    </w:lvl>
    <w:lvl w:ilvl="2" w:tplc="91DA0424">
      <w:start w:val="1"/>
      <w:numFmt w:val="decimal"/>
      <w:lvlText w:val=""/>
      <w:lvlJc w:val="left"/>
    </w:lvl>
    <w:lvl w:ilvl="3" w:tplc="5C06B5FC">
      <w:start w:val="1"/>
      <w:numFmt w:val="decimal"/>
      <w:lvlText w:val=""/>
      <w:lvlJc w:val="left"/>
    </w:lvl>
    <w:lvl w:ilvl="4" w:tplc="297CD768">
      <w:start w:val="1"/>
      <w:numFmt w:val="decimal"/>
      <w:lvlText w:val=""/>
      <w:lvlJc w:val="left"/>
    </w:lvl>
    <w:lvl w:ilvl="5" w:tplc="3FCE3066">
      <w:start w:val="1"/>
      <w:numFmt w:val="decimal"/>
      <w:lvlText w:val=""/>
      <w:lvlJc w:val="left"/>
    </w:lvl>
    <w:lvl w:ilvl="6" w:tplc="3732C074">
      <w:start w:val="1"/>
      <w:numFmt w:val="decimal"/>
      <w:lvlText w:val=""/>
      <w:lvlJc w:val="left"/>
    </w:lvl>
    <w:lvl w:ilvl="7" w:tplc="C758317A">
      <w:start w:val="1"/>
      <w:numFmt w:val="decimal"/>
      <w:lvlText w:val=""/>
      <w:lvlJc w:val="left"/>
    </w:lvl>
    <w:lvl w:ilvl="8" w:tplc="82A46FF8">
      <w:start w:val="1"/>
      <w:numFmt w:val="decimal"/>
      <w:lvlText w:val=""/>
      <w:lvlJc w:val="left"/>
    </w:lvl>
  </w:abstractNum>
  <w:abstractNum w:abstractNumId="1" w15:restartNumberingAfterBreak="0">
    <w:nsid w:val="178C7D1B"/>
    <w:multiLevelType w:val="hybridMultilevel"/>
    <w:tmpl w:val="8D4ABCE0"/>
    <w:lvl w:ilvl="0" w:tplc="89EC9A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FA63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6068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725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7CE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724D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40D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8CE7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F0A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5387D04"/>
    <w:multiLevelType w:val="hybridMultilevel"/>
    <w:tmpl w:val="BDA05E38"/>
    <w:lvl w:ilvl="0" w:tplc="1354E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C4B86">
      <w:start w:val="1"/>
      <w:numFmt w:val="lowerLetter"/>
      <w:lvlText w:val="%2."/>
      <w:lvlJc w:val="left"/>
      <w:pPr>
        <w:ind w:left="1440" w:hanging="360"/>
      </w:pPr>
    </w:lvl>
    <w:lvl w:ilvl="2" w:tplc="BEBE0DB0">
      <w:start w:val="1"/>
      <w:numFmt w:val="lowerRoman"/>
      <w:lvlText w:val="%3."/>
      <w:lvlJc w:val="right"/>
      <w:pPr>
        <w:ind w:left="2160" w:hanging="180"/>
      </w:pPr>
    </w:lvl>
    <w:lvl w:ilvl="3" w:tplc="86865746">
      <w:start w:val="1"/>
      <w:numFmt w:val="decimal"/>
      <w:lvlText w:val="%4."/>
      <w:lvlJc w:val="left"/>
      <w:pPr>
        <w:ind w:left="2880" w:hanging="360"/>
      </w:pPr>
    </w:lvl>
    <w:lvl w:ilvl="4" w:tplc="8F3C5FF8">
      <w:start w:val="1"/>
      <w:numFmt w:val="lowerLetter"/>
      <w:lvlText w:val="%5."/>
      <w:lvlJc w:val="left"/>
      <w:pPr>
        <w:ind w:left="3600" w:hanging="360"/>
      </w:pPr>
    </w:lvl>
    <w:lvl w:ilvl="5" w:tplc="1D905F3A">
      <w:start w:val="1"/>
      <w:numFmt w:val="lowerRoman"/>
      <w:lvlText w:val="%6."/>
      <w:lvlJc w:val="right"/>
      <w:pPr>
        <w:ind w:left="4320" w:hanging="180"/>
      </w:pPr>
    </w:lvl>
    <w:lvl w:ilvl="6" w:tplc="CEBE035C">
      <w:start w:val="1"/>
      <w:numFmt w:val="decimal"/>
      <w:lvlText w:val="%7."/>
      <w:lvlJc w:val="left"/>
      <w:pPr>
        <w:ind w:left="5040" w:hanging="360"/>
      </w:pPr>
    </w:lvl>
    <w:lvl w:ilvl="7" w:tplc="493019DC">
      <w:start w:val="1"/>
      <w:numFmt w:val="lowerLetter"/>
      <w:lvlText w:val="%8."/>
      <w:lvlJc w:val="left"/>
      <w:pPr>
        <w:ind w:left="5760" w:hanging="360"/>
      </w:pPr>
    </w:lvl>
    <w:lvl w:ilvl="8" w:tplc="873219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E50"/>
    <w:multiLevelType w:val="hybridMultilevel"/>
    <w:tmpl w:val="6A081E28"/>
    <w:lvl w:ilvl="0" w:tplc="46DE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4D1A0">
      <w:start w:val="1"/>
      <w:numFmt w:val="lowerLetter"/>
      <w:lvlText w:val="%2."/>
      <w:lvlJc w:val="left"/>
      <w:pPr>
        <w:ind w:left="1440" w:hanging="360"/>
      </w:pPr>
    </w:lvl>
    <w:lvl w:ilvl="2" w:tplc="93629256">
      <w:start w:val="1"/>
      <w:numFmt w:val="lowerRoman"/>
      <w:lvlText w:val="%3."/>
      <w:lvlJc w:val="right"/>
      <w:pPr>
        <w:ind w:left="2160" w:hanging="180"/>
      </w:pPr>
    </w:lvl>
    <w:lvl w:ilvl="3" w:tplc="6408F57E">
      <w:start w:val="1"/>
      <w:numFmt w:val="decimal"/>
      <w:lvlText w:val="%4."/>
      <w:lvlJc w:val="left"/>
      <w:pPr>
        <w:ind w:left="2880" w:hanging="360"/>
      </w:pPr>
    </w:lvl>
    <w:lvl w:ilvl="4" w:tplc="93B04BFA">
      <w:start w:val="1"/>
      <w:numFmt w:val="lowerLetter"/>
      <w:lvlText w:val="%5."/>
      <w:lvlJc w:val="left"/>
      <w:pPr>
        <w:ind w:left="3600" w:hanging="360"/>
      </w:pPr>
    </w:lvl>
    <w:lvl w:ilvl="5" w:tplc="0DC20CB4">
      <w:start w:val="1"/>
      <w:numFmt w:val="lowerRoman"/>
      <w:lvlText w:val="%6."/>
      <w:lvlJc w:val="right"/>
      <w:pPr>
        <w:ind w:left="4320" w:hanging="180"/>
      </w:pPr>
    </w:lvl>
    <w:lvl w:ilvl="6" w:tplc="AE269232">
      <w:start w:val="1"/>
      <w:numFmt w:val="decimal"/>
      <w:lvlText w:val="%7."/>
      <w:lvlJc w:val="left"/>
      <w:pPr>
        <w:ind w:left="5040" w:hanging="360"/>
      </w:pPr>
    </w:lvl>
    <w:lvl w:ilvl="7" w:tplc="ECCCEDC0">
      <w:start w:val="1"/>
      <w:numFmt w:val="lowerLetter"/>
      <w:lvlText w:val="%8."/>
      <w:lvlJc w:val="left"/>
      <w:pPr>
        <w:ind w:left="5760" w:hanging="360"/>
      </w:pPr>
    </w:lvl>
    <w:lvl w:ilvl="8" w:tplc="68202B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47A0"/>
    <w:multiLevelType w:val="hybridMultilevel"/>
    <w:tmpl w:val="029C8324"/>
    <w:lvl w:ilvl="0" w:tplc="7096A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1ECE">
      <w:start w:val="1"/>
      <w:numFmt w:val="lowerLetter"/>
      <w:lvlText w:val="%2."/>
      <w:lvlJc w:val="left"/>
      <w:pPr>
        <w:ind w:left="1440" w:hanging="360"/>
      </w:pPr>
    </w:lvl>
    <w:lvl w:ilvl="2" w:tplc="437653F6">
      <w:start w:val="1"/>
      <w:numFmt w:val="lowerRoman"/>
      <w:lvlText w:val="%3."/>
      <w:lvlJc w:val="right"/>
      <w:pPr>
        <w:ind w:left="2160" w:hanging="180"/>
      </w:pPr>
    </w:lvl>
    <w:lvl w:ilvl="3" w:tplc="76948CF8">
      <w:start w:val="1"/>
      <w:numFmt w:val="decimal"/>
      <w:lvlText w:val="%4."/>
      <w:lvlJc w:val="left"/>
      <w:pPr>
        <w:ind w:left="2880" w:hanging="360"/>
      </w:pPr>
    </w:lvl>
    <w:lvl w:ilvl="4" w:tplc="882C7BF2">
      <w:start w:val="1"/>
      <w:numFmt w:val="lowerLetter"/>
      <w:lvlText w:val="%5."/>
      <w:lvlJc w:val="left"/>
      <w:pPr>
        <w:ind w:left="3600" w:hanging="360"/>
      </w:pPr>
    </w:lvl>
    <w:lvl w:ilvl="5" w:tplc="917CD156">
      <w:start w:val="1"/>
      <w:numFmt w:val="lowerRoman"/>
      <w:lvlText w:val="%6."/>
      <w:lvlJc w:val="right"/>
      <w:pPr>
        <w:ind w:left="4320" w:hanging="180"/>
      </w:pPr>
    </w:lvl>
    <w:lvl w:ilvl="6" w:tplc="50ECC816">
      <w:start w:val="1"/>
      <w:numFmt w:val="decimal"/>
      <w:lvlText w:val="%7."/>
      <w:lvlJc w:val="left"/>
      <w:pPr>
        <w:ind w:left="5040" w:hanging="360"/>
      </w:pPr>
    </w:lvl>
    <w:lvl w:ilvl="7" w:tplc="A29CE668">
      <w:start w:val="1"/>
      <w:numFmt w:val="lowerLetter"/>
      <w:lvlText w:val="%8."/>
      <w:lvlJc w:val="left"/>
      <w:pPr>
        <w:ind w:left="5760" w:hanging="360"/>
      </w:pPr>
    </w:lvl>
    <w:lvl w:ilvl="8" w:tplc="D786D6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FBC"/>
    <w:multiLevelType w:val="hybridMultilevel"/>
    <w:tmpl w:val="A532068A"/>
    <w:lvl w:ilvl="0" w:tplc="346C9D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44D8816C">
      <w:start w:val="1"/>
      <w:numFmt w:val="decimal"/>
      <w:lvlText w:val=""/>
      <w:lvlJc w:val="left"/>
    </w:lvl>
    <w:lvl w:ilvl="2" w:tplc="8F38DF2C">
      <w:start w:val="1"/>
      <w:numFmt w:val="decimal"/>
      <w:lvlText w:val=""/>
      <w:lvlJc w:val="left"/>
    </w:lvl>
    <w:lvl w:ilvl="3" w:tplc="27BA8F70">
      <w:start w:val="1"/>
      <w:numFmt w:val="decimal"/>
      <w:lvlText w:val=""/>
      <w:lvlJc w:val="left"/>
    </w:lvl>
    <w:lvl w:ilvl="4" w:tplc="4C327DDC">
      <w:start w:val="1"/>
      <w:numFmt w:val="decimal"/>
      <w:lvlText w:val=""/>
      <w:lvlJc w:val="left"/>
    </w:lvl>
    <w:lvl w:ilvl="5" w:tplc="BCF21A7C">
      <w:start w:val="1"/>
      <w:numFmt w:val="decimal"/>
      <w:lvlText w:val=""/>
      <w:lvlJc w:val="left"/>
    </w:lvl>
    <w:lvl w:ilvl="6" w:tplc="6BAAE3A0">
      <w:start w:val="1"/>
      <w:numFmt w:val="decimal"/>
      <w:lvlText w:val=""/>
      <w:lvlJc w:val="left"/>
    </w:lvl>
    <w:lvl w:ilvl="7" w:tplc="2DDA502C">
      <w:start w:val="1"/>
      <w:numFmt w:val="decimal"/>
      <w:lvlText w:val=""/>
      <w:lvlJc w:val="left"/>
    </w:lvl>
    <w:lvl w:ilvl="8" w:tplc="35E2701E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11"/>
    <w:rsid w:val="000073A5"/>
    <w:rsid w:val="000959DD"/>
    <w:rsid w:val="001C1130"/>
    <w:rsid w:val="001D4D60"/>
    <w:rsid w:val="002149B0"/>
    <w:rsid w:val="00225170"/>
    <w:rsid w:val="00297644"/>
    <w:rsid w:val="002B1C99"/>
    <w:rsid w:val="002E706F"/>
    <w:rsid w:val="00327C5F"/>
    <w:rsid w:val="00393F31"/>
    <w:rsid w:val="003A0482"/>
    <w:rsid w:val="0053082D"/>
    <w:rsid w:val="0057330F"/>
    <w:rsid w:val="00592330"/>
    <w:rsid w:val="00612A03"/>
    <w:rsid w:val="00690885"/>
    <w:rsid w:val="006E565F"/>
    <w:rsid w:val="00727511"/>
    <w:rsid w:val="007A65B7"/>
    <w:rsid w:val="00847447"/>
    <w:rsid w:val="00877642"/>
    <w:rsid w:val="008A014C"/>
    <w:rsid w:val="008D0E0B"/>
    <w:rsid w:val="00907AF2"/>
    <w:rsid w:val="00912C2A"/>
    <w:rsid w:val="00953D7C"/>
    <w:rsid w:val="009C6B14"/>
    <w:rsid w:val="00A547A2"/>
    <w:rsid w:val="00AB1D0C"/>
    <w:rsid w:val="00AB56EF"/>
    <w:rsid w:val="00B1186D"/>
    <w:rsid w:val="00B13F3C"/>
    <w:rsid w:val="00BB584B"/>
    <w:rsid w:val="00BE2033"/>
    <w:rsid w:val="00BF4684"/>
    <w:rsid w:val="00C5064E"/>
    <w:rsid w:val="00CE5808"/>
    <w:rsid w:val="00E6696B"/>
    <w:rsid w:val="00EB772A"/>
    <w:rsid w:val="00F3198C"/>
    <w:rsid w:val="00F71474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B6D9-BCD3-4787-A5ED-6B6E23E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C834-CAD3-40C0-9FD7-BF1915C0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70</cp:revision>
  <cp:lastPrinted>2023-10-26T14:11:00Z</cp:lastPrinted>
  <dcterms:created xsi:type="dcterms:W3CDTF">2015-05-22T07:42:00Z</dcterms:created>
  <dcterms:modified xsi:type="dcterms:W3CDTF">2023-10-26T14:25:00Z</dcterms:modified>
</cp:coreProperties>
</file>