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11" w:rsidRDefault="007A65B7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2023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727511" w:rsidRDefault="007A65B7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01FEB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727511" w:rsidRDefault="007A6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27511" w:rsidRDefault="007A65B7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</w:t>
      </w:r>
      <w:r w:rsidR="001C1130">
        <w:rPr>
          <w:rFonts w:ascii="Times New Roman" w:hAnsi="Times New Roman"/>
          <w:b/>
          <w:sz w:val="28"/>
          <w:szCs w:val="28"/>
        </w:rPr>
        <w:t>Оштинское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r w:rsidR="001C1130">
        <w:rPr>
          <w:rFonts w:ascii="Times New Roman" w:hAnsi="Times New Roman"/>
          <w:b/>
          <w:sz w:val="28"/>
          <w:szCs w:val="28"/>
        </w:rPr>
        <w:t>Оштинское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1130" w:rsidRPr="001C1130">
        <w:rPr>
          <w:rFonts w:ascii="Times New Roman" w:hAnsi="Times New Roman"/>
          <w:b/>
          <w:sz w:val="28"/>
          <w:szCs w:val="28"/>
        </w:rPr>
        <w:t xml:space="preserve"> </w:t>
      </w:r>
      <w:r w:rsidR="001C1130">
        <w:rPr>
          <w:rFonts w:ascii="Times New Roman" w:hAnsi="Times New Roman"/>
          <w:b/>
          <w:sz w:val="28"/>
          <w:szCs w:val="28"/>
        </w:rPr>
        <w:t>Вытегорского муниципального района Вологодской области</w:t>
      </w:r>
      <w:r w:rsidR="001C1130">
        <w:rPr>
          <w:rFonts w:ascii="Times New Roman" w:hAnsi="Times New Roman"/>
          <w:b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а 2026-2030 годы»</w:t>
      </w:r>
    </w:p>
    <w:p w:rsidR="00727511" w:rsidRDefault="001C113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7A6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A65B7">
        <w:rPr>
          <w:rFonts w:ascii="Times New Roman" w:hAnsi="Times New Roman"/>
          <w:sz w:val="28"/>
          <w:szCs w:val="28"/>
        </w:rPr>
        <w:t xml:space="preserve">.2023 г.                                                                              </w:t>
      </w:r>
      <w:r w:rsidR="007A65B7">
        <w:rPr>
          <w:rFonts w:ascii="Times New Roman" w:hAnsi="Times New Roman"/>
          <w:sz w:val="28"/>
          <w:szCs w:val="28"/>
        </w:rPr>
        <w:t xml:space="preserve">   г. Вытегра</w:t>
      </w:r>
    </w:p>
    <w:p w:rsidR="00727511" w:rsidRDefault="007A65B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проект постановления 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 w:rsidRPr="001C1130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1C1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территории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 w:rsidRPr="001C1130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1C1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2026-2030 годы» 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727511" w:rsidRDefault="007A65B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>п.2 ст.157 Бюджетного кодекса Российс</w:t>
      </w:r>
      <w:r>
        <w:rPr>
          <w:rFonts w:ascii="Times New Roman" w:hAnsi="Times New Roman"/>
          <w:sz w:val="28"/>
          <w:szCs w:val="28"/>
        </w:rPr>
        <w:t xml:space="preserve">кой Федерации, пункт 7 части 2 статьи 9 Федерального закона от 07.02.2011 № 6 –ФЗ </w:t>
      </w:r>
      <w:r w:rsidR="001C1130" w:rsidRPr="001C1130">
        <w:rPr>
          <w:rFonts w:ascii="Times New Roman" w:hAnsi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/>
          <w:sz w:val="28"/>
          <w:szCs w:val="28"/>
        </w:rPr>
        <w:t>», Положение о Ревизионной комиссии Выте</w:t>
      </w:r>
      <w:r>
        <w:rPr>
          <w:rFonts w:ascii="Times New Roman" w:hAnsi="Times New Roman"/>
          <w:sz w:val="28"/>
          <w:szCs w:val="28"/>
        </w:rPr>
        <w:t>горского муниципального района, утвержденное Решением Представительного Собрания Вытегорского муниципального района от 28</w:t>
      </w:r>
      <w:r>
        <w:rPr>
          <w:rFonts w:ascii="Times New Roman" w:hAnsi="Times New Roman"/>
          <w:sz w:val="28"/>
          <w:szCs w:val="28"/>
          <w:lang w:eastAsia="ru-RU"/>
        </w:rPr>
        <w:t>.06.2023 года № 660</w:t>
      </w:r>
      <w:r>
        <w:rPr>
          <w:rFonts w:ascii="Times New Roman" w:hAnsi="Times New Roman"/>
          <w:sz w:val="28"/>
          <w:szCs w:val="28"/>
        </w:rPr>
        <w:t>.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</w:t>
      </w:r>
      <w:r>
        <w:rPr>
          <w:rFonts w:ascii="Times New Roman" w:hAnsi="Times New Roman"/>
          <w:sz w:val="28"/>
          <w:szCs w:val="28"/>
        </w:rPr>
        <w:t xml:space="preserve">литики, установленным законами, иными нормативными правовыми актами Российской Федерации, Вологодской области и муниципального образования в сфере обеспечения повышения уровня благоустройства на территории муниципального образования, а также достаточность </w:t>
      </w:r>
      <w:r>
        <w:rPr>
          <w:rFonts w:ascii="Times New Roman" w:hAnsi="Times New Roman"/>
          <w:sz w:val="28"/>
          <w:szCs w:val="28"/>
        </w:rPr>
        <w:t xml:space="preserve">запланированных мероприятий и реалистичность ресурсов для достижения целей и ожидаемых результатов муниципальной программы;  </w:t>
      </w:r>
    </w:p>
    <w:p w:rsidR="00727511" w:rsidRDefault="007A65B7">
      <w:pPr>
        <w:tabs>
          <w:tab w:val="left" w:pos="0"/>
        </w:tabs>
        <w:spacing w:after="119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подтверждение полномочий по установлению расходного обязательства, подтверждение обоснованности размера расходного обязательства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установление экономических последствий принятия нового расходного обязательства для бюджета муниципального образования. 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задачи экспертизы: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27511" w:rsidRDefault="007A65B7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анализ системы финансирования, оценки эффективности и контроля муниципальной программы. </w:t>
      </w:r>
    </w:p>
    <w:p w:rsidR="00727511" w:rsidRDefault="007A65B7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Предмет экспертизы:</w:t>
      </w:r>
      <w:r>
        <w:rPr>
          <w:rFonts w:ascii="Times New Roman" w:hAnsi="Times New Roman"/>
          <w:sz w:val="28"/>
          <w:szCs w:val="28"/>
        </w:rPr>
        <w:t xml:space="preserve"> проект муниципальной программы. </w:t>
      </w:r>
    </w:p>
    <w:p w:rsidR="00727511" w:rsidRDefault="007A65B7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Объект экспертизы: </w:t>
      </w:r>
      <w:r>
        <w:rPr>
          <w:rFonts w:ascii="Times New Roman" w:hAnsi="Times New Roman"/>
          <w:sz w:val="28"/>
          <w:szCs w:val="28"/>
        </w:rPr>
        <w:t>ответственный исполнитель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– Администрация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 w:rsidRPr="001C1130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1C11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Администрация поселения).  </w:t>
      </w:r>
    </w:p>
    <w:p w:rsidR="00727511" w:rsidRDefault="007A65B7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</w:t>
      </w:r>
      <w:r>
        <w:rPr>
          <w:rFonts w:ascii="Times New Roman" w:hAnsi="Times New Roman"/>
          <w:sz w:val="28"/>
          <w:szCs w:val="28"/>
        </w:rPr>
        <w:t xml:space="preserve">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</w:t>
      </w:r>
      <w:r>
        <w:rPr>
          <w:rFonts w:ascii="Times New Roman" w:hAnsi="Times New Roman"/>
          <w:sz w:val="28"/>
          <w:szCs w:val="28"/>
        </w:rPr>
        <w:t xml:space="preserve">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>
        <w:rPr>
          <w:rFonts w:ascii="Times New Roman" w:hAnsi="Times New Roman"/>
          <w:sz w:val="28"/>
          <w:szCs w:val="28"/>
        </w:rPr>
        <w:t>от 10.08.2020 г. № 77 «Об утверждении Порядка разработки, реализации и оценки эффективности реализации муниципальных программ сельского поселения Оштинское»</w:t>
      </w:r>
      <w:r>
        <w:rPr>
          <w:rFonts w:ascii="Times New Roman" w:hAnsi="Times New Roman"/>
          <w:sz w:val="28"/>
          <w:szCs w:val="28"/>
        </w:rPr>
        <w:t xml:space="preserve"> (далее – Порядка), в соответствии со статьей 179 Бюджетного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Федерации.  </w:t>
      </w:r>
    </w:p>
    <w:p w:rsidR="00727511" w:rsidRDefault="007A65B7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7.Экспертиза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>Согласно статьи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муниципальным правовым актом админист</w:t>
      </w:r>
      <w:r>
        <w:rPr>
          <w:rFonts w:ascii="Times New Roman" w:eastAsiaTheme="minorHAnsi" w:hAnsi="Times New Roman"/>
          <w:sz w:val="28"/>
          <w:szCs w:val="28"/>
        </w:rPr>
        <w:t>рации муниципального образования.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ими порядке.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</w:t>
      </w:r>
      <w:r>
        <w:rPr>
          <w:rFonts w:ascii="Times New Roman" w:eastAsiaTheme="minorHAnsi" w:hAnsi="Times New Roman"/>
          <w:sz w:val="28"/>
          <w:szCs w:val="28"/>
        </w:rPr>
        <w:t>указанных программ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</w:t>
      </w:r>
      <w:r>
        <w:rPr>
          <w:rFonts w:ascii="Times New Roman" w:eastAsiaTheme="minorHAnsi" w:hAnsi="Times New Roman"/>
          <w:sz w:val="28"/>
          <w:szCs w:val="28"/>
        </w:rPr>
        <w:t>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727511" w:rsidRDefault="007A6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>
        <w:rPr>
          <w:rFonts w:ascii="Times New Roman" w:hAnsi="Times New Roman"/>
          <w:sz w:val="28"/>
          <w:szCs w:val="28"/>
        </w:rPr>
        <w:t>от 10.08.2020 г. № 77 «Об утверждении Порядка разработки, реализации и оценки эффективности реализации муниципальных программ сельского поселения Оштинское»</w:t>
      </w:r>
      <w:r w:rsidR="001C1130">
        <w:rPr>
          <w:rFonts w:ascii="Times New Roman" w:hAnsi="Times New Roman"/>
          <w:sz w:val="28"/>
          <w:szCs w:val="28"/>
        </w:rPr>
        <w:t>.</w:t>
      </w:r>
    </w:p>
    <w:p w:rsidR="00727511" w:rsidRDefault="007A6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«Благоустройство территории сел</w:t>
      </w:r>
      <w:r>
        <w:rPr>
          <w:rFonts w:ascii="Times New Roman" w:hAnsi="Times New Roman"/>
          <w:sz w:val="28"/>
          <w:szCs w:val="28"/>
        </w:rPr>
        <w:t xml:space="preserve">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 w:rsidRPr="001C1130">
        <w:rPr>
          <w:rFonts w:ascii="Times New Roman" w:hAnsi="Times New Roman"/>
          <w:sz w:val="28"/>
          <w:szCs w:val="28"/>
        </w:rPr>
        <w:t xml:space="preserve">Вытегорского </w:t>
      </w:r>
      <w:r w:rsidR="001C1130" w:rsidRPr="001C1130">
        <w:rPr>
          <w:rFonts w:ascii="Times New Roman" w:hAnsi="Times New Roman"/>
          <w:sz w:val="28"/>
          <w:szCs w:val="28"/>
        </w:rPr>
        <w:lastRenderedPageBreak/>
        <w:t>муниципального района Вологодской области</w:t>
      </w:r>
      <w:r w:rsidR="001C1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2026-2030 годы» (далее – Программу). </w:t>
      </w:r>
    </w:p>
    <w:p w:rsidR="00297644" w:rsidRDefault="00297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реализацию мероприятий по благоустройству территорий поселения, включая организацию уличного освещения, по содержанию кладбищ. </w:t>
      </w:r>
    </w:p>
    <w:p w:rsidR="00727511" w:rsidRDefault="007A65B7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14 Федерального закона от 06.10.2003 г. № 131 –ФЗ «Об общих принципах организации местного самоуправления в Российской Федерации», статьей 3 Устава сель</w:t>
      </w:r>
      <w:r>
        <w:rPr>
          <w:rFonts w:ascii="Times New Roman" w:hAnsi="Times New Roman"/>
          <w:sz w:val="28"/>
          <w:szCs w:val="28"/>
        </w:rPr>
        <w:t xml:space="preserve">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организация благоустройства</w:t>
      </w:r>
      <w:r w:rsidR="00297644">
        <w:rPr>
          <w:rFonts w:ascii="Times New Roman" w:hAnsi="Times New Roman"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Cs/>
          <w:sz w:val="28"/>
          <w:szCs w:val="28"/>
        </w:rPr>
        <w:t xml:space="preserve">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содержание мест захоронения </w:t>
      </w:r>
      <w:r>
        <w:rPr>
          <w:rFonts w:ascii="Times New Roman" w:hAnsi="Times New Roman"/>
          <w:sz w:val="28"/>
          <w:szCs w:val="28"/>
        </w:rPr>
        <w:t>относятся к вопросам местного значения сельского поселения. Таким образом, реализация мероприятий Программы осуществляется в пределах полномочий органа местног</w:t>
      </w:r>
      <w:r>
        <w:rPr>
          <w:rFonts w:ascii="Times New Roman" w:hAnsi="Times New Roman"/>
          <w:sz w:val="28"/>
          <w:szCs w:val="28"/>
        </w:rPr>
        <w:t xml:space="preserve">о самоуправления. </w:t>
      </w:r>
    </w:p>
    <w:p w:rsidR="00727511" w:rsidRDefault="007A65B7">
      <w:pPr>
        <w:tabs>
          <w:tab w:val="left" w:pos="0"/>
          <w:tab w:val="left" w:pos="567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tbl>
      <w:tblPr>
        <w:tblStyle w:val="af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3402"/>
      </w:tblGrid>
      <w:tr w:rsidR="00727511">
        <w:trPr>
          <w:trHeight w:val="324"/>
        </w:trPr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Соответствует, (не соответствует) Порядку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27511">
        <w:trPr>
          <w:trHeight w:val="497"/>
        </w:trPr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и надлежащее оформление паспорта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402" w:type="dxa"/>
          </w:tcPr>
          <w:p w:rsidR="00727511" w:rsidRPr="00953D7C" w:rsidRDefault="00953D7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7C">
              <w:rPr>
                <w:rFonts w:ascii="Times New Roman" w:hAnsi="Times New Roman"/>
                <w:sz w:val="20"/>
                <w:szCs w:val="20"/>
              </w:rPr>
              <w:t>Имеются недостатки технического характера</w:t>
            </w: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</w:t>
            </w:r>
            <w:r>
              <w:rPr>
                <w:rFonts w:ascii="Times New Roman" w:hAnsi="Times New Roman"/>
                <w:sz w:val="20"/>
                <w:szCs w:val="20"/>
              </w:rPr>
              <w:t>х проблем в указанной сфере и перспектив её развития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сферы реализации Программы отражена в текстовой части Программы. </w:t>
            </w:r>
          </w:p>
          <w:p w:rsidR="00727511" w:rsidRDefault="0072751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9DD" w:rsidRDefault="000959DD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Соответствует.</w:t>
            </w:r>
          </w:p>
          <w:p w:rsidR="00727511" w:rsidRDefault="0072751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7511" w:rsidRDefault="0072751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 П</w:t>
            </w:r>
            <w:r>
              <w:rPr>
                <w:rFonts w:ascii="Times New Roman" w:hAnsi="Times New Roman"/>
                <w:sz w:val="20"/>
                <w:szCs w:val="20"/>
              </w:rPr>
              <w:t>рограммы 2026-2030 годы</w:t>
            </w: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727511" w:rsidRDefault="0072751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7511" w:rsidRDefault="0072751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Программы запланировано за счет собственных средств бюджета поселения. Также разработана прогнозная оценка привлечения средств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областного бюджета. </w:t>
            </w:r>
          </w:p>
        </w:tc>
      </w:tr>
      <w:tr w:rsidR="00727511">
        <w:trPr>
          <w:trHeight w:val="726"/>
        </w:trPr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не предусмотрены.</w:t>
            </w:r>
          </w:p>
        </w:tc>
      </w:tr>
      <w:tr w:rsidR="00727511">
        <w:trPr>
          <w:trHeight w:val="1865"/>
        </w:trPr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новных мероприятий Программы отражена в текстовой части Программы. </w:t>
            </w:r>
          </w:p>
          <w:p w:rsidR="00727511" w:rsidRDefault="0072751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727511" w:rsidRDefault="0072751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7511" w:rsidRDefault="0072751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402" w:type="dxa"/>
          </w:tcPr>
          <w:p w:rsidR="00727511" w:rsidRDefault="008D0E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Требуют поправок технического характера</w:t>
            </w: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Предусмотрено Постановлением </w:t>
            </w:r>
            <w:r w:rsidR="008D0E0B" w:rsidRPr="008D0E0B">
              <w:rPr>
                <w:rFonts w:ascii="Times New Roman" w:hAnsi="Times New Roman"/>
                <w:sz w:val="20"/>
                <w:szCs w:val="20"/>
              </w:rPr>
              <w:t>10.08.2020 г. № 77</w:t>
            </w: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Предусмотрено Постановлением </w:t>
            </w:r>
            <w:r w:rsidR="008D0E0B" w:rsidRPr="008D0E0B">
              <w:rPr>
                <w:rFonts w:ascii="Times New Roman" w:hAnsi="Times New Roman"/>
                <w:sz w:val="20"/>
                <w:szCs w:val="20"/>
              </w:rPr>
              <w:t>10.08.2020 г. № 77</w:t>
            </w:r>
          </w:p>
        </w:tc>
      </w:tr>
    </w:tbl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 xml:space="preserve">Экспертиза показала, что муниципальная программа в целом </w:t>
      </w:r>
      <w:r w:rsidRPr="008D0E0B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Pr="008D0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 разработки, реализации и оценки эффективности реа</w:t>
      </w:r>
      <w:r>
        <w:rPr>
          <w:rFonts w:ascii="Times New Roman" w:hAnsi="Times New Roman"/>
          <w:sz w:val="28"/>
          <w:szCs w:val="28"/>
        </w:rPr>
        <w:t xml:space="preserve">лизации муниципальных программ, утвержденному постановлением 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D0E0B" w:rsidRPr="008D0E0B">
        <w:rPr>
          <w:rFonts w:ascii="Times New Roman" w:hAnsi="Times New Roman"/>
          <w:sz w:val="28"/>
          <w:szCs w:val="28"/>
          <w:lang w:eastAsia="ru-RU"/>
        </w:rPr>
        <w:t xml:space="preserve">10.08.2020 г. № 77 </w:t>
      </w:r>
      <w:r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  <w:u w:val="single"/>
        </w:rPr>
        <w:t xml:space="preserve">но имеются </w:t>
      </w:r>
      <w:r>
        <w:rPr>
          <w:rFonts w:ascii="Times New Roman" w:hAnsi="Times New Roman"/>
          <w:sz w:val="28"/>
          <w:szCs w:val="28"/>
          <w:u w:val="single"/>
        </w:rPr>
        <w:t xml:space="preserve">технические недочеты.   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соответствует 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области, Вытегорского района и муниципального образования в сфере </w:t>
      </w:r>
      <w:r>
        <w:rPr>
          <w:rFonts w:ascii="Times New Roman" w:hAnsi="Times New Roman"/>
          <w:bCs/>
          <w:sz w:val="28"/>
          <w:szCs w:val="28"/>
        </w:rPr>
        <w:t>организации благоустройства посел</w:t>
      </w:r>
      <w:r>
        <w:rPr>
          <w:rFonts w:ascii="Times New Roman" w:hAnsi="Times New Roman"/>
          <w:bCs/>
          <w:sz w:val="28"/>
          <w:szCs w:val="28"/>
        </w:rPr>
        <w:t xml:space="preserve">ения. </w:t>
      </w:r>
      <w:r>
        <w:rPr>
          <w:rFonts w:ascii="Times New Roman" w:hAnsi="Times New Roman"/>
          <w:sz w:val="28"/>
          <w:szCs w:val="28"/>
        </w:rPr>
        <w:t xml:space="preserve">Программа принята для решения актуальных для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проблем, решение которых программным методом является целесообразным и необходимым. </w:t>
      </w:r>
    </w:p>
    <w:p w:rsidR="00727511" w:rsidRDefault="007A6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Цель муниципальной программы: повышение комфортной среды проживания на территори</w:t>
      </w:r>
      <w:r>
        <w:rPr>
          <w:rFonts w:ascii="Times New Roman" w:hAnsi="Times New Roman"/>
          <w:sz w:val="28"/>
          <w:szCs w:val="28"/>
        </w:rPr>
        <w:t xml:space="preserve">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27511" w:rsidRDefault="007A6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Цель Программы соответствуют ожидаемым конечным результатам и может быть достигнута за период реализации Программы. </w:t>
      </w:r>
    </w:p>
    <w:p w:rsidR="00727511" w:rsidRDefault="007A6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Задачи муниципальной программы:</w:t>
      </w:r>
    </w:p>
    <w:p w:rsidR="00727511" w:rsidRDefault="007A6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Повышение эффективности использования электрической</w:t>
      </w:r>
      <w:r>
        <w:rPr>
          <w:rFonts w:ascii="Times New Roman" w:hAnsi="Times New Roman"/>
          <w:sz w:val="28"/>
          <w:szCs w:val="28"/>
        </w:rPr>
        <w:t xml:space="preserve"> энергии в системе уличного освещения территории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27511" w:rsidRDefault="007A6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Повышение уровня благоустройства и санитарно – эпидемиологического состояния территорий кладбищ в поселении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>.</w:t>
      </w:r>
    </w:p>
    <w:p w:rsidR="00727511" w:rsidRDefault="007A6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Повышение уровня благоустройства общественных территорий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>.</w:t>
      </w:r>
    </w:p>
    <w:p w:rsidR="00727511" w:rsidRDefault="007A6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Сформулированные задачи необходимы и достаточны для достижения цели Программы.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27511" w:rsidRDefault="007A6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25170">
        <w:rPr>
          <w:rFonts w:ascii="Times New Roman" w:hAnsi="Times New Roman"/>
          <w:sz w:val="28"/>
          <w:szCs w:val="28"/>
        </w:rPr>
        <w:t>Целевые показатели Программы соответствуют требованиям, изложенным в Порядке.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727511" w:rsidRDefault="007A6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На решение каждой задачи направлено одно основное мероприятие.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27511" w:rsidRDefault="007A65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– </w:t>
      </w:r>
      <w:r w:rsidR="00225170">
        <w:rPr>
          <w:rFonts w:ascii="Times New Roman" w:hAnsi="Times New Roman"/>
          <w:sz w:val="28"/>
          <w:szCs w:val="28"/>
        </w:rPr>
        <w:t>4991,0</w:t>
      </w:r>
      <w:r>
        <w:rPr>
          <w:rFonts w:ascii="Times New Roman" w:hAnsi="Times New Roman"/>
          <w:sz w:val="28"/>
          <w:szCs w:val="28"/>
        </w:rPr>
        <w:t xml:space="preserve"> тыс. рублей, ежегодно </w:t>
      </w:r>
      <w:r w:rsidR="002251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25170">
        <w:rPr>
          <w:rFonts w:ascii="Times New Roman" w:hAnsi="Times New Roman"/>
          <w:sz w:val="28"/>
          <w:szCs w:val="28"/>
        </w:rPr>
        <w:t>998,2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Источник финансирования – бюджет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(собственные ср</w:t>
      </w:r>
      <w:r>
        <w:rPr>
          <w:rFonts w:ascii="Times New Roman" w:hAnsi="Times New Roman"/>
          <w:sz w:val="28"/>
          <w:szCs w:val="28"/>
        </w:rPr>
        <w:t xml:space="preserve">едства бюджета). Проектом Программы предусмотрены объемы привлечения дополнительных средств за счет средств областного бюджета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="00225170">
        <w:rPr>
          <w:rFonts w:ascii="Times New Roman" w:hAnsi="Times New Roman"/>
          <w:sz w:val="28"/>
          <w:szCs w:val="28"/>
        </w:rPr>
        <w:t>965,1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727511" w:rsidRDefault="007A65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79B">
        <w:rPr>
          <w:rFonts w:ascii="Times New Roman" w:hAnsi="Times New Roman"/>
          <w:sz w:val="28"/>
          <w:szCs w:val="28"/>
        </w:rPr>
        <w:t>Анализ финансового обеспечени</w:t>
      </w:r>
      <w:r w:rsidR="002149B0">
        <w:rPr>
          <w:rFonts w:ascii="Times New Roman" w:hAnsi="Times New Roman"/>
          <w:sz w:val="28"/>
          <w:szCs w:val="28"/>
        </w:rPr>
        <w:t>я показал</w:t>
      </w:r>
      <w:r w:rsidR="002149B0" w:rsidRPr="002149B0">
        <w:rPr>
          <w:rFonts w:ascii="Times New Roman" w:hAnsi="Times New Roman"/>
          <w:sz w:val="28"/>
          <w:szCs w:val="28"/>
        </w:rPr>
        <w:t>:</w:t>
      </w:r>
      <w:r w:rsidR="002149B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бъемы финансового </w:t>
      </w:r>
      <w:r>
        <w:rPr>
          <w:rFonts w:ascii="Times New Roman" w:hAnsi="Times New Roman"/>
          <w:sz w:val="28"/>
          <w:szCs w:val="28"/>
        </w:rPr>
        <w:t xml:space="preserve">обеспечения в разрезе основных мероприятий определены по образцу финансового обеспечения аналогичных основных мероприятий муниципальной программы «Благоустройство территории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на 2021-2025 годы» на 2023 год бюджета поселения н</w:t>
      </w:r>
      <w:r>
        <w:rPr>
          <w:rFonts w:ascii="Times New Roman" w:hAnsi="Times New Roman"/>
          <w:sz w:val="28"/>
          <w:szCs w:val="28"/>
        </w:rPr>
        <w:t xml:space="preserve">а 2023 -2025 годы без учета средств из областного бюджета. </w:t>
      </w:r>
      <w:r>
        <w:rPr>
          <w:rFonts w:ascii="Times New Roman" w:hAnsi="Times New Roman"/>
          <w:sz w:val="28"/>
          <w:szCs w:val="28"/>
        </w:rPr>
        <w:t xml:space="preserve">Исходя из этого можно сделать вывод о достаточности финансового обеспечения Программы для достижения целей и ожидаемых результатов муниципальной программы. </w:t>
      </w:r>
    </w:p>
    <w:p w:rsidR="00727511" w:rsidRDefault="007A65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Ревизионная комиссия рекомендует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727511" w:rsidRDefault="007A65B7">
      <w:pPr>
        <w:pStyle w:val="afc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реализации в рамках Основного мероприятия «</w:t>
      </w:r>
      <w:r>
        <w:rPr>
          <w:rFonts w:ascii="Times New Roman" w:hAnsi="Times New Roman"/>
          <w:sz w:val="28"/>
          <w:szCs w:val="28"/>
        </w:rPr>
        <w:t>Организация уличного освещения» Программы в 2026-2030 годах мероприятий по организации освещения улиц в темное время суток, предусматривающих заключение контрактов на продажу и передачу электрической эн</w:t>
      </w:r>
      <w:r>
        <w:rPr>
          <w:rFonts w:ascii="Times New Roman" w:hAnsi="Times New Roman"/>
          <w:sz w:val="28"/>
          <w:szCs w:val="28"/>
        </w:rPr>
        <w:t>ергии, предусмотреть целевой показатель, на достижение которого будут направлены данные мероприятия и финансовые ресурсы</w:t>
      </w:r>
      <w:r w:rsidRPr="001C1130">
        <w:rPr>
          <w:rFonts w:ascii="Times New Roman" w:hAnsi="Times New Roman"/>
          <w:sz w:val="28"/>
          <w:szCs w:val="28"/>
        </w:rPr>
        <w:t>;</w:t>
      </w:r>
    </w:p>
    <w:p w:rsidR="006E565F" w:rsidRDefault="006E565F" w:rsidP="006E565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позициях паспорта Программы «Соисполнители программы», «Участники программы» указать слово «отсутствуют» (пункт 3.3 Порядка)</w:t>
      </w:r>
      <w:r w:rsidRPr="006E565F">
        <w:rPr>
          <w:rFonts w:ascii="Times New Roman" w:hAnsi="Times New Roman"/>
          <w:sz w:val="28"/>
          <w:szCs w:val="28"/>
        </w:rPr>
        <w:t>;</w:t>
      </w:r>
    </w:p>
    <w:p w:rsidR="006E565F" w:rsidRPr="006E565F" w:rsidRDefault="006E565F" w:rsidP="006E565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позиции паспорта «Цели и задачи программы» отделить задачи от цели, прописать слово «Задачи»</w:t>
      </w:r>
      <w:r w:rsidRPr="006E565F">
        <w:rPr>
          <w:rFonts w:ascii="Times New Roman" w:hAnsi="Times New Roman"/>
          <w:sz w:val="28"/>
          <w:szCs w:val="28"/>
        </w:rPr>
        <w:t>;</w:t>
      </w:r>
    </w:p>
    <w:p w:rsidR="00AB1D0C" w:rsidRDefault="006E565F" w:rsidP="006E565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позиции паспорта «Программно – целевые инструменты программы (подпрограммы)» указать </w:t>
      </w:r>
      <w:r w:rsidR="000073A5">
        <w:rPr>
          <w:rFonts w:ascii="Times New Roman" w:hAnsi="Times New Roman"/>
          <w:sz w:val="28"/>
          <w:szCs w:val="28"/>
        </w:rPr>
        <w:t>государственные программы Вологодской области, в рамках которых планируется получение средств из областного бюджета</w:t>
      </w:r>
      <w:r w:rsidR="00AB1D0C">
        <w:rPr>
          <w:rFonts w:ascii="Times New Roman" w:hAnsi="Times New Roman"/>
          <w:sz w:val="28"/>
          <w:szCs w:val="28"/>
        </w:rPr>
        <w:t xml:space="preserve"> на реализацию мероприятий</w:t>
      </w:r>
      <w:r w:rsidR="00AB1D0C" w:rsidRPr="00AB1D0C">
        <w:rPr>
          <w:rFonts w:ascii="Times New Roman" w:hAnsi="Times New Roman"/>
          <w:sz w:val="28"/>
          <w:szCs w:val="28"/>
        </w:rPr>
        <w:t>;</w:t>
      </w:r>
    </w:p>
    <w:p w:rsidR="00A547A2" w:rsidRDefault="00AB1D0C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позиции паспорта «Ожидаемые результаты реализации программы»</w:t>
      </w:r>
      <w:r w:rsidR="00BF4684">
        <w:rPr>
          <w:rFonts w:ascii="Times New Roman" w:hAnsi="Times New Roman"/>
          <w:sz w:val="28"/>
          <w:szCs w:val="28"/>
        </w:rPr>
        <w:t xml:space="preserve"> и</w:t>
      </w:r>
      <w:r w:rsidR="00BF4684" w:rsidRPr="00BF4684">
        <w:rPr>
          <w:rFonts w:ascii="Times New Roman" w:hAnsi="Times New Roman"/>
          <w:sz w:val="28"/>
          <w:szCs w:val="28"/>
        </w:rPr>
        <w:t xml:space="preserve"> </w:t>
      </w:r>
      <w:r w:rsidR="00BF4684">
        <w:rPr>
          <w:rFonts w:ascii="Times New Roman" w:hAnsi="Times New Roman"/>
          <w:sz w:val="28"/>
          <w:szCs w:val="28"/>
        </w:rPr>
        <w:t>в разделе 2</w:t>
      </w:r>
      <w:r w:rsidR="00BF4684">
        <w:rPr>
          <w:rFonts w:ascii="Times New Roman" w:hAnsi="Times New Roman"/>
          <w:sz w:val="28"/>
          <w:szCs w:val="28"/>
        </w:rPr>
        <w:t xml:space="preserve"> текстовой части</w:t>
      </w:r>
      <w:r w:rsidR="00BF4684">
        <w:rPr>
          <w:rFonts w:ascii="Times New Roman" w:hAnsi="Times New Roman"/>
          <w:sz w:val="28"/>
          <w:szCs w:val="28"/>
        </w:rPr>
        <w:t xml:space="preserve"> Программы при указании основных ожидаемых конечных</w:t>
      </w:r>
      <w:r w:rsidR="00BF4684">
        <w:rPr>
          <w:rFonts w:ascii="Times New Roman" w:hAnsi="Times New Roman"/>
          <w:sz w:val="28"/>
          <w:szCs w:val="28"/>
        </w:rPr>
        <w:t xml:space="preserve">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547A2">
        <w:rPr>
          <w:rFonts w:ascii="Times New Roman" w:hAnsi="Times New Roman"/>
          <w:sz w:val="28"/>
          <w:szCs w:val="28"/>
        </w:rPr>
        <w:t>в указанных ожидаемых результатах год «2026» заменить на «2025», в ожидаемо</w:t>
      </w:r>
      <w:r w:rsidR="00BF4684">
        <w:rPr>
          <w:rFonts w:ascii="Times New Roman" w:hAnsi="Times New Roman"/>
          <w:sz w:val="28"/>
          <w:szCs w:val="28"/>
        </w:rPr>
        <w:t>м</w:t>
      </w:r>
      <w:r w:rsidR="00A547A2">
        <w:rPr>
          <w:rFonts w:ascii="Times New Roman" w:hAnsi="Times New Roman"/>
          <w:sz w:val="28"/>
          <w:szCs w:val="28"/>
        </w:rPr>
        <w:t xml:space="preserve"> результате «</w:t>
      </w:r>
      <w:r w:rsidR="00A547A2" w:rsidRPr="00A547A2">
        <w:rPr>
          <w:rFonts w:ascii="Times New Roman" w:hAnsi="Times New Roman"/>
          <w:sz w:val="28"/>
          <w:szCs w:val="28"/>
        </w:rPr>
        <w:t>Увеличение количества вновь установленных светильников на территории сельского поселения Оштинское на 25 ед.: от 15 ед. в 2026 году до 45 ед. в 2030 году</w:t>
      </w:r>
      <w:r w:rsidR="00A547A2">
        <w:rPr>
          <w:rFonts w:ascii="Times New Roman" w:hAnsi="Times New Roman"/>
          <w:sz w:val="28"/>
          <w:szCs w:val="28"/>
        </w:rPr>
        <w:t>» цифру «45» заменить на «40»;</w:t>
      </w:r>
    </w:p>
    <w:p w:rsidR="002B1C99" w:rsidRDefault="00A547A2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7A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изменить формулировку цели Основного мероприятия 1</w:t>
      </w:r>
      <w:r w:rsidR="002B1C99">
        <w:rPr>
          <w:rFonts w:ascii="Times New Roman" w:hAnsi="Times New Roman"/>
          <w:sz w:val="28"/>
          <w:szCs w:val="28"/>
        </w:rPr>
        <w:t>, увязав ее с задачей Программы, на достижение которой направлено Основное мероприятие 1</w:t>
      </w:r>
      <w:r w:rsidR="002B1C99" w:rsidRPr="002B1C99">
        <w:rPr>
          <w:rFonts w:ascii="Times New Roman" w:hAnsi="Times New Roman"/>
          <w:sz w:val="28"/>
          <w:szCs w:val="28"/>
        </w:rPr>
        <w:t>;</w:t>
      </w:r>
    </w:p>
    <w:p w:rsidR="00727511" w:rsidRDefault="002B1C9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772A">
        <w:rPr>
          <w:rFonts w:ascii="Times New Roman" w:hAnsi="Times New Roman"/>
          <w:sz w:val="28"/>
          <w:szCs w:val="28"/>
        </w:rPr>
        <w:t>в таблице «Финансовое обеспечение муниципальной программы (подпрограммы муниципальной программы) за счет средств бюджета»</w:t>
      </w:r>
      <w:r w:rsidR="00847447">
        <w:rPr>
          <w:rFonts w:ascii="Times New Roman" w:hAnsi="Times New Roman"/>
          <w:sz w:val="28"/>
          <w:szCs w:val="28"/>
        </w:rPr>
        <w:t xml:space="preserve"> приложения 3 к Программе указать номера целевых показателей. </w:t>
      </w:r>
      <w:r w:rsidR="00EB772A">
        <w:rPr>
          <w:rFonts w:ascii="Times New Roman" w:hAnsi="Times New Roman"/>
          <w:sz w:val="28"/>
          <w:szCs w:val="28"/>
        </w:rPr>
        <w:t xml:space="preserve">  </w:t>
      </w:r>
    </w:p>
    <w:p w:rsidR="00847447" w:rsidRDefault="0084744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727511" w:rsidRDefault="007A65B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5064E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территории сельского поселения Оштинские </w:t>
      </w:r>
      <w:r w:rsidR="00C5064E" w:rsidRPr="001C1130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C5064E">
        <w:rPr>
          <w:rFonts w:ascii="Times New Roman" w:hAnsi="Times New Roman"/>
          <w:sz w:val="28"/>
          <w:szCs w:val="28"/>
        </w:rPr>
        <w:t xml:space="preserve"> на 2026-2030 годы»</w:t>
      </w:r>
      <w:r>
        <w:rPr>
          <w:rFonts w:ascii="Times New Roman" w:hAnsi="Times New Roman"/>
          <w:sz w:val="28"/>
          <w:szCs w:val="28"/>
        </w:rPr>
        <w:t xml:space="preserve"> соответствует требованиям Федерального закона </w:t>
      </w:r>
      <w:r>
        <w:rPr>
          <w:rFonts w:ascii="Times New Roman" w:hAnsi="Times New Roman"/>
          <w:sz w:val="28"/>
          <w:szCs w:val="28"/>
        </w:rPr>
        <w:t xml:space="preserve">от 06.10.2003 </w:t>
      </w:r>
      <w:r w:rsidR="00C5064E"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>«Об общих принципах ор</w:t>
      </w:r>
      <w:r>
        <w:rPr>
          <w:rFonts w:ascii="Times New Roman" w:hAnsi="Times New Roman"/>
          <w:sz w:val="28"/>
          <w:szCs w:val="28"/>
        </w:rPr>
        <w:t xml:space="preserve">ганизации местного самоуправления в Российской Федерации», Бюджетного кодекса Российской Федерации, Положению о бюджетном процессе в сельском поселении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реализации муниципальных программ, у</w:t>
      </w:r>
      <w:r>
        <w:rPr>
          <w:rFonts w:ascii="Times New Roman" w:hAnsi="Times New Roman"/>
          <w:sz w:val="28"/>
          <w:szCs w:val="28"/>
        </w:rPr>
        <w:t xml:space="preserve">твержденному постановлением 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5064E">
        <w:rPr>
          <w:rFonts w:ascii="Times New Roman" w:hAnsi="Times New Roman"/>
          <w:sz w:val="28"/>
          <w:szCs w:val="28"/>
        </w:rPr>
        <w:t xml:space="preserve">от </w:t>
      </w:r>
      <w:r w:rsidR="00C5064E" w:rsidRPr="008D0E0B">
        <w:rPr>
          <w:rFonts w:ascii="Times New Roman" w:hAnsi="Times New Roman"/>
          <w:sz w:val="28"/>
          <w:szCs w:val="28"/>
          <w:lang w:eastAsia="ru-RU"/>
        </w:rPr>
        <w:t>10.08.2020 г. № 77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727511" w:rsidRDefault="007A65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Ревизионная комиссия </w:t>
      </w:r>
      <w:r w:rsidR="00C5064E">
        <w:rPr>
          <w:rFonts w:ascii="Times New Roman" w:hAnsi="Times New Roman"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 xml:space="preserve"> разработчику Программы рассмотреть </w:t>
      </w:r>
      <w:r w:rsidR="00C5064E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, изложенные в заключении, </w:t>
      </w:r>
      <w:r w:rsidR="00C5064E">
        <w:rPr>
          <w:rFonts w:ascii="Times New Roman" w:hAnsi="Times New Roman"/>
          <w:sz w:val="28"/>
          <w:szCs w:val="28"/>
        </w:rPr>
        <w:t>внести поправки в проект программы.</w:t>
      </w:r>
    </w:p>
    <w:p w:rsidR="00C5064E" w:rsidRDefault="00C506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7511" w:rsidRDefault="007A65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</w:t>
      </w:r>
      <w:r>
        <w:rPr>
          <w:rFonts w:ascii="Times New Roman" w:hAnsi="Times New Roman"/>
          <w:sz w:val="28"/>
          <w:szCs w:val="28"/>
        </w:rPr>
        <w:t>иссии                                                 О.Е. Нестерова</w:t>
      </w:r>
    </w:p>
    <w:p w:rsidR="00727511" w:rsidRDefault="007275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7511" w:rsidRDefault="007A65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2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B7" w:rsidRDefault="007A65B7">
      <w:pPr>
        <w:spacing w:after="0" w:line="240" w:lineRule="auto"/>
      </w:pPr>
      <w:r>
        <w:separator/>
      </w:r>
    </w:p>
  </w:endnote>
  <w:endnote w:type="continuationSeparator" w:id="0">
    <w:p w:rsidR="007A65B7" w:rsidRDefault="007A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B7" w:rsidRDefault="007A65B7">
      <w:pPr>
        <w:spacing w:after="0" w:line="240" w:lineRule="auto"/>
      </w:pPr>
      <w:r>
        <w:separator/>
      </w:r>
    </w:p>
  </w:footnote>
  <w:footnote w:type="continuationSeparator" w:id="0">
    <w:p w:rsidR="007A65B7" w:rsidRDefault="007A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666"/>
    <w:multiLevelType w:val="hybridMultilevel"/>
    <w:tmpl w:val="F5320394"/>
    <w:lvl w:ilvl="0" w:tplc="AF5020C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FF2270DE">
      <w:start w:val="1"/>
      <w:numFmt w:val="decimal"/>
      <w:lvlText w:val=""/>
      <w:lvlJc w:val="left"/>
    </w:lvl>
    <w:lvl w:ilvl="2" w:tplc="91DA0424">
      <w:start w:val="1"/>
      <w:numFmt w:val="decimal"/>
      <w:lvlText w:val=""/>
      <w:lvlJc w:val="left"/>
    </w:lvl>
    <w:lvl w:ilvl="3" w:tplc="5C06B5FC">
      <w:start w:val="1"/>
      <w:numFmt w:val="decimal"/>
      <w:lvlText w:val=""/>
      <w:lvlJc w:val="left"/>
    </w:lvl>
    <w:lvl w:ilvl="4" w:tplc="297CD768">
      <w:start w:val="1"/>
      <w:numFmt w:val="decimal"/>
      <w:lvlText w:val=""/>
      <w:lvlJc w:val="left"/>
    </w:lvl>
    <w:lvl w:ilvl="5" w:tplc="3FCE3066">
      <w:start w:val="1"/>
      <w:numFmt w:val="decimal"/>
      <w:lvlText w:val=""/>
      <w:lvlJc w:val="left"/>
    </w:lvl>
    <w:lvl w:ilvl="6" w:tplc="3732C074">
      <w:start w:val="1"/>
      <w:numFmt w:val="decimal"/>
      <w:lvlText w:val=""/>
      <w:lvlJc w:val="left"/>
    </w:lvl>
    <w:lvl w:ilvl="7" w:tplc="C758317A">
      <w:start w:val="1"/>
      <w:numFmt w:val="decimal"/>
      <w:lvlText w:val=""/>
      <w:lvlJc w:val="left"/>
    </w:lvl>
    <w:lvl w:ilvl="8" w:tplc="82A46FF8">
      <w:start w:val="1"/>
      <w:numFmt w:val="decimal"/>
      <w:lvlText w:val=""/>
      <w:lvlJc w:val="left"/>
    </w:lvl>
  </w:abstractNum>
  <w:abstractNum w:abstractNumId="1" w15:restartNumberingAfterBreak="0">
    <w:nsid w:val="178C7D1B"/>
    <w:multiLevelType w:val="hybridMultilevel"/>
    <w:tmpl w:val="8D4ABCE0"/>
    <w:lvl w:ilvl="0" w:tplc="89EC9A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2FA63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6068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7258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7CE4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724D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40D5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8CE7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F0AF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5387D04"/>
    <w:multiLevelType w:val="hybridMultilevel"/>
    <w:tmpl w:val="BDA05E38"/>
    <w:lvl w:ilvl="0" w:tplc="1354E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C4B86">
      <w:start w:val="1"/>
      <w:numFmt w:val="lowerLetter"/>
      <w:lvlText w:val="%2."/>
      <w:lvlJc w:val="left"/>
      <w:pPr>
        <w:ind w:left="1440" w:hanging="360"/>
      </w:pPr>
    </w:lvl>
    <w:lvl w:ilvl="2" w:tplc="BEBE0DB0">
      <w:start w:val="1"/>
      <w:numFmt w:val="lowerRoman"/>
      <w:lvlText w:val="%3."/>
      <w:lvlJc w:val="right"/>
      <w:pPr>
        <w:ind w:left="2160" w:hanging="180"/>
      </w:pPr>
    </w:lvl>
    <w:lvl w:ilvl="3" w:tplc="86865746">
      <w:start w:val="1"/>
      <w:numFmt w:val="decimal"/>
      <w:lvlText w:val="%4."/>
      <w:lvlJc w:val="left"/>
      <w:pPr>
        <w:ind w:left="2880" w:hanging="360"/>
      </w:pPr>
    </w:lvl>
    <w:lvl w:ilvl="4" w:tplc="8F3C5FF8">
      <w:start w:val="1"/>
      <w:numFmt w:val="lowerLetter"/>
      <w:lvlText w:val="%5."/>
      <w:lvlJc w:val="left"/>
      <w:pPr>
        <w:ind w:left="3600" w:hanging="360"/>
      </w:pPr>
    </w:lvl>
    <w:lvl w:ilvl="5" w:tplc="1D905F3A">
      <w:start w:val="1"/>
      <w:numFmt w:val="lowerRoman"/>
      <w:lvlText w:val="%6."/>
      <w:lvlJc w:val="right"/>
      <w:pPr>
        <w:ind w:left="4320" w:hanging="180"/>
      </w:pPr>
    </w:lvl>
    <w:lvl w:ilvl="6" w:tplc="CEBE035C">
      <w:start w:val="1"/>
      <w:numFmt w:val="decimal"/>
      <w:lvlText w:val="%7."/>
      <w:lvlJc w:val="left"/>
      <w:pPr>
        <w:ind w:left="5040" w:hanging="360"/>
      </w:pPr>
    </w:lvl>
    <w:lvl w:ilvl="7" w:tplc="493019DC">
      <w:start w:val="1"/>
      <w:numFmt w:val="lowerLetter"/>
      <w:lvlText w:val="%8."/>
      <w:lvlJc w:val="left"/>
      <w:pPr>
        <w:ind w:left="5760" w:hanging="360"/>
      </w:pPr>
    </w:lvl>
    <w:lvl w:ilvl="8" w:tplc="873219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E50"/>
    <w:multiLevelType w:val="hybridMultilevel"/>
    <w:tmpl w:val="6A081E28"/>
    <w:lvl w:ilvl="0" w:tplc="46DE4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E4D1A0">
      <w:start w:val="1"/>
      <w:numFmt w:val="lowerLetter"/>
      <w:lvlText w:val="%2."/>
      <w:lvlJc w:val="left"/>
      <w:pPr>
        <w:ind w:left="1440" w:hanging="360"/>
      </w:pPr>
    </w:lvl>
    <w:lvl w:ilvl="2" w:tplc="93629256">
      <w:start w:val="1"/>
      <w:numFmt w:val="lowerRoman"/>
      <w:lvlText w:val="%3."/>
      <w:lvlJc w:val="right"/>
      <w:pPr>
        <w:ind w:left="2160" w:hanging="180"/>
      </w:pPr>
    </w:lvl>
    <w:lvl w:ilvl="3" w:tplc="6408F57E">
      <w:start w:val="1"/>
      <w:numFmt w:val="decimal"/>
      <w:lvlText w:val="%4."/>
      <w:lvlJc w:val="left"/>
      <w:pPr>
        <w:ind w:left="2880" w:hanging="360"/>
      </w:pPr>
    </w:lvl>
    <w:lvl w:ilvl="4" w:tplc="93B04BFA">
      <w:start w:val="1"/>
      <w:numFmt w:val="lowerLetter"/>
      <w:lvlText w:val="%5."/>
      <w:lvlJc w:val="left"/>
      <w:pPr>
        <w:ind w:left="3600" w:hanging="360"/>
      </w:pPr>
    </w:lvl>
    <w:lvl w:ilvl="5" w:tplc="0DC20CB4">
      <w:start w:val="1"/>
      <w:numFmt w:val="lowerRoman"/>
      <w:lvlText w:val="%6."/>
      <w:lvlJc w:val="right"/>
      <w:pPr>
        <w:ind w:left="4320" w:hanging="180"/>
      </w:pPr>
    </w:lvl>
    <w:lvl w:ilvl="6" w:tplc="AE269232">
      <w:start w:val="1"/>
      <w:numFmt w:val="decimal"/>
      <w:lvlText w:val="%7."/>
      <w:lvlJc w:val="left"/>
      <w:pPr>
        <w:ind w:left="5040" w:hanging="360"/>
      </w:pPr>
    </w:lvl>
    <w:lvl w:ilvl="7" w:tplc="ECCCEDC0">
      <w:start w:val="1"/>
      <w:numFmt w:val="lowerLetter"/>
      <w:lvlText w:val="%8."/>
      <w:lvlJc w:val="left"/>
      <w:pPr>
        <w:ind w:left="5760" w:hanging="360"/>
      </w:pPr>
    </w:lvl>
    <w:lvl w:ilvl="8" w:tplc="68202B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F47A0"/>
    <w:multiLevelType w:val="hybridMultilevel"/>
    <w:tmpl w:val="029C8324"/>
    <w:lvl w:ilvl="0" w:tplc="7096A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1ECE">
      <w:start w:val="1"/>
      <w:numFmt w:val="lowerLetter"/>
      <w:lvlText w:val="%2."/>
      <w:lvlJc w:val="left"/>
      <w:pPr>
        <w:ind w:left="1440" w:hanging="360"/>
      </w:pPr>
    </w:lvl>
    <w:lvl w:ilvl="2" w:tplc="437653F6">
      <w:start w:val="1"/>
      <w:numFmt w:val="lowerRoman"/>
      <w:lvlText w:val="%3."/>
      <w:lvlJc w:val="right"/>
      <w:pPr>
        <w:ind w:left="2160" w:hanging="180"/>
      </w:pPr>
    </w:lvl>
    <w:lvl w:ilvl="3" w:tplc="76948CF8">
      <w:start w:val="1"/>
      <w:numFmt w:val="decimal"/>
      <w:lvlText w:val="%4."/>
      <w:lvlJc w:val="left"/>
      <w:pPr>
        <w:ind w:left="2880" w:hanging="360"/>
      </w:pPr>
    </w:lvl>
    <w:lvl w:ilvl="4" w:tplc="882C7BF2">
      <w:start w:val="1"/>
      <w:numFmt w:val="lowerLetter"/>
      <w:lvlText w:val="%5."/>
      <w:lvlJc w:val="left"/>
      <w:pPr>
        <w:ind w:left="3600" w:hanging="360"/>
      </w:pPr>
    </w:lvl>
    <w:lvl w:ilvl="5" w:tplc="917CD156">
      <w:start w:val="1"/>
      <w:numFmt w:val="lowerRoman"/>
      <w:lvlText w:val="%6."/>
      <w:lvlJc w:val="right"/>
      <w:pPr>
        <w:ind w:left="4320" w:hanging="180"/>
      </w:pPr>
    </w:lvl>
    <w:lvl w:ilvl="6" w:tplc="50ECC816">
      <w:start w:val="1"/>
      <w:numFmt w:val="decimal"/>
      <w:lvlText w:val="%7."/>
      <w:lvlJc w:val="left"/>
      <w:pPr>
        <w:ind w:left="5040" w:hanging="360"/>
      </w:pPr>
    </w:lvl>
    <w:lvl w:ilvl="7" w:tplc="A29CE668">
      <w:start w:val="1"/>
      <w:numFmt w:val="lowerLetter"/>
      <w:lvlText w:val="%8."/>
      <w:lvlJc w:val="left"/>
      <w:pPr>
        <w:ind w:left="5760" w:hanging="360"/>
      </w:pPr>
    </w:lvl>
    <w:lvl w:ilvl="8" w:tplc="D786D6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40FBC"/>
    <w:multiLevelType w:val="hybridMultilevel"/>
    <w:tmpl w:val="A532068A"/>
    <w:lvl w:ilvl="0" w:tplc="346C9DC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44D8816C">
      <w:start w:val="1"/>
      <w:numFmt w:val="decimal"/>
      <w:lvlText w:val=""/>
      <w:lvlJc w:val="left"/>
    </w:lvl>
    <w:lvl w:ilvl="2" w:tplc="8F38DF2C">
      <w:start w:val="1"/>
      <w:numFmt w:val="decimal"/>
      <w:lvlText w:val=""/>
      <w:lvlJc w:val="left"/>
    </w:lvl>
    <w:lvl w:ilvl="3" w:tplc="27BA8F70">
      <w:start w:val="1"/>
      <w:numFmt w:val="decimal"/>
      <w:lvlText w:val=""/>
      <w:lvlJc w:val="left"/>
    </w:lvl>
    <w:lvl w:ilvl="4" w:tplc="4C327DDC">
      <w:start w:val="1"/>
      <w:numFmt w:val="decimal"/>
      <w:lvlText w:val=""/>
      <w:lvlJc w:val="left"/>
    </w:lvl>
    <w:lvl w:ilvl="5" w:tplc="BCF21A7C">
      <w:start w:val="1"/>
      <w:numFmt w:val="decimal"/>
      <w:lvlText w:val=""/>
      <w:lvlJc w:val="left"/>
    </w:lvl>
    <w:lvl w:ilvl="6" w:tplc="6BAAE3A0">
      <w:start w:val="1"/>
      <w:numFmt w:val="decimal"/>
      <w:lvlText w:val=""/>
      <w:lvlJc w:val="left"/>
    </w:lvl>
    <w:lvl w:ilvl="7" w:tplc="2DDA502C">
      <w:start w:val="1"/>
      <w:numFmt w:val="decimal"/>
      <w:lvlText w:val=""/>
      <w:lvlJc w:val="left"/>
    </w:lvl>
    <w:lvl w:ilvl="8" w:tplc="35E2701E">
      <w:start w:val="1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11"/>
    <w:rsid w:val="000073A5"/>
    <w:rsid w:val="000959DD"/>
    <w:rsid w:val="001C1130"/>
    <w:rsid w:val="002149B0"/>
    <w:rsid w:val="00225170"/>
    <w:rsid w:val="00297644"/>
    <w:rsid w:val="002B1C99"/>
    <w:rsid w:val="003A0482"/>
    <w:rsid w:val="006E565F"/>
    <w:rsid w:val="00727511"/>
    <w:rsid w:val="007A65B7"/>
    <w:rsid w:val="00847447"/>
    <w:rsid w:val="008D0E0B"/>
    <w:rsid w:val="00912C2A"/>
    <w:rsid w:val="00953D7C"/>
    <w:rsid w:val="00A547A2"/>
    <w:rsid w:val="00AB1D0C"/>
    <w:rsid w:val="00BF4684"/>
    <w:rsid w:val="00C5064E"/>
    <w:rsid w:val="00EB772A"/>
    <w:rsid w:val="00F3198C"/>
    <w:rsid w:val="00F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EB6D9-BCD3-4787-A5ED-6B6E23E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59FC-5C29-4A0B-B0E9-9AF2CB45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68</cp:revision>
  <cp:lastPrinted>2023-10-25T13:37:00Z</cp:lastPrinted>
  <dcterms:created xsi:type="dcterms:W3CDTF">2015-05-22T07:42:00Z</dcterms:created>
  <dcterms:modified xsi:type="dcterms:W3CDTF">2023-10-25T13:55:00Z</dcterms:modified>
</cp:coreProperties>
</file>