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1E086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F27790">
        <w:rPr>
          <w:rFonts w:ascii="Times New Roman" w:hAnsi="Times New Roman"/>
          <w:b/>
          <w:sz w:val="28"/>
          <w:szCs w:val="28"/>
        </w:rPr>
        <w:t>2023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32528" w:rsidRDefault="00332528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7790">
        <w:rPr>
          <w:rFonts w:ascii="Times New Roman" w:hAnsi="Times New Roman"/>
          <w:sz w:val="28"/>
          <w:szCs w:val="28"/>
        </w:rPr>
        <w:t>06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F0102E">
        <w:rPr>
          <w:rFonts w:ascii="Times New Roman" w:hAnsi="Times New Roman"/>
          <w:sz w:val="28"/>
          <w:szCs w:val="28"/>
        </w:rPr>
        <w:t>6</w:t>
      </w:r>
      <w:r w:rsidR="0038485C">
        <w:rPr>
          <w:rFonts w:ascii="Times New Roman" w:hAnsi="Times New Roman"/>
          <w:sz w:val="28"/>
          <w:szCs w:val="28"/>
        </w:rPr>
        <w:t>.</w:t>
      </w:r>
      <w:r w:rsidR="00F2779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F27790">
        <w:rPr>
          <w:rFonts w:ascii="Times New Roman" w:hAnsi="Times New Roman"/>
          <w:sz w:val="28"/>
          <w:szCs w:val="28"/>
        </w:rPr>
        <w:t>2023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0102E">
        <w:rPr>
          <w:rFonts w:ascii="Times New Roman" w:hAnsi="Times New Roman"/>
          <w:sz w:val="28"/>
          <w:szCs w:val="28"/>
          <w:lang w:eastAsia="ru-RU"/>
        </w:rPr>
        <w:t>2</w:t>
      </w:r>
      <w:r w:rsidR="00F27790">
        <w:rPr>
          <w:rFonts w:ascii="Times New Roman" w:hAnsi="Times New Roman"/>
          <w:sz w:val="28"/>
          <w:szCs w:val="28"/>
          <w:lang w:eastAsia="ru-RU"/>
        </w:rPr>
        <w:t>4</w:t>
      </w:r>
      <w:r w:rsidR="000965A2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27790">
        <w:rPr>
          <w:rFonts w:ascii="Times New Roman" w:hAnsi="Times New Roman"/>
          <w:sz w:val="28"/>
          <w:szCs w:val="28"/>
          <w:lang w:eastAsia="ru-RU"/>
        </w:rPr>
        <w:t>17.</w:t>
      </w:r>
    </w:p>
    <w:p w:rsidR="00BA764D" w:rsidRPr="00B3450B" w:rsidRDefault="00300992" w:rsidP="00F6754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0102E">
        <w:rPr>
          <w:rFonts w:ascii="Times New Roman" w:hAnsi="Times New Roman"/>
          <w:sz w:val="28"/>
          <w:szCs w:val="28"/>
          <w:lang w:eastAsia="ru-RU"/>
        </w:rPr>
        <w:t>1</w:t>
      </w:r>
      <w:r w:rsidR="00F27790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F2779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27790">
        <w:rPr>
          <w:rFonts w:ascii="Times New Roman" w:hAnsi="Times New Roman"/>
          <w:sz w:val="28"/>
          <w:szCs w:val="28"/>
          <w:lang w:eastAsia="ru-RU"/>
        </w:rPr>
        <w:t>14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27790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27790">
        <w:rPr>
          <w:rFonts w:ascii="Times New Roman" w:hAnsi="Times New Roman"/>
          <w:sz w:val="28"/>
          <w:szCs w:val="28"/>
          <w:lang w:eastAsia="ru-RU"/>
        </w:rPr>
        <w:t>2025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27790">
        <w:rPr>
          <w:rFonts w:ascii="Times New Roman" w:hAnsi="Times New Roman"/>
          <w:sz w:val="28"/>
          <w:szCs w:val="28"/>
          <w:lang w:eastAsia="ru-RU"/>
        </w:rPr>
        <w:t>3948,8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27790">
        <w:rPr>
          <w:rFonts w:ascii="Times New Roman" w:hAnsi="Times New Roman"/>
          <w:sz w:val="28"/>
          <w:szCs w:val="28"/>
          <w:lang w:eastAsia="ru-RU"/>
        </w:rPr>
        <w:t>3948,8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67542" w:rsidRDefault="00BA764D" w:rsidP="006D7D48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542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32528" w:rsidRPr="00332528" w:rsidRDefault="004D58F0" w:rsidP="00F67542">
      <w:pPr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="00332528" w:rsidRPr="00332528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доходам не из</w:t>
      </w:r>
      <w:r w:rsidR="00332528">
        <w:rPr>
          <w:rFonts w:ascii="Times New Roman" w:hAnsi="Times New Roman"/>
          <w:sz w:val="28"/>
          <w:szCs w:val="28"/>
          <w:lang w:eastAsia="ru-RU"/>
        </w:rPr>
        <w:t>менились, по расходам составили 4312,9</w:t>
      </w:r>
      <w:r w:rsidR="00332528" w:rsidRPr="00332528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332528">
        <w:rPr>
          <w:rFonts w:ascii="Times New Roman" w:hAnsi="Times New Roman"/>
          <w:sz w:val="28"/>
          <w:szCs w:val="28"/>
          <w:lang w:eastAsia="ru-RU"/>
        </w:rPr>
        <w:t xml:space="preserve"> 364,1</w:t>
      </w:r>
      <w:r w:rsidR="00332528" w:rsidRPr="0033252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32528">
        <w:rPr>
          <w:rFonts w:ascii="Times New Roman" w:hAnsi="Times New Roman"/>
          <w:sz w:val="28"/>
          <w:szCs w:val="28"/>
          <w:lang w:eastAsia="ru-RU"/>
        </w:rPr>
        <w:t xml:space="preserve">9,2 </w:t>
      </w:r>
      <w:r w:rsidR="00332528" w:rsidRPr="00332528">
        <w:rPr>
          <w:rFonts w:ascii="Times New Roman" w:hAnsi="Times New Roman"/>
          <w:sz w:val="28"/>
          <w:szCs w:val="28"/>
          <w:lang w:eastAsia="ru-RU"/>
        </w:rPr>
        <w:t xml:space="preserve">%). Дефицит бюджета утвержден в сумме </w:t>
      </w:r>
      <w:r w:rsidR="00332528">
        <w:rPr>
          <w:rFonts w:ascii="Times New Roman" w:hAnsi="Times New Roman"/>
          <w:sz w:val="28"/>
          <w:szCs w:val="28"/>
          <w:lang w:eastAsia="ru-RU"/>
        </w:rPr>
        <w:t>364,1</w:t>
      </w:r>
      <w:r w:rsidR="00332528" w:rsidRPr="00332528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332528">
        <w:rPr>
          <w:rFonts w:ascii="Times New Roman" w:hAnsi="Times New Roman"/>
          <w:bCs/>
          <w:sz w:val="28"/>
          <w:szCs w:val="28"/>
          <w:lang w:eastAsia="ru-RU"/>
        </w:rPr>
        <w:t>889,0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32528">
        <w:rPr>
          <w:rFonts w:ascii="Times New Roman" w:hAnsi="Times New Roman"/>
          <w:sz w:val="28"/>
          <w:szCs w:val="28"/>
          <w:lang w:eastAsia="ru-RU"/>
        </w:rPr>
        <w:t>22,5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332528">
        <w:rPr>
          <w:rFonts w:ascii="Times New Roman" w:hAnsi="Times New Roman"/>
          <w:sz w:val="28"/>
          <w:szCs w:val="28"/>
          <w:lang w:eastAsia="ru-RU"/>
        </w:rPr>
        <w:t>в сумме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34D">
        <w:rPr>
          <w:rFonts w:ascii="Times New Roman" w:hAnsi="Times New Roman"/>
          <w:sz w:val="28"/>
          <w:szCs w:val="28"/>
          <w:lang w:eastAsia="ru-RU"/>
        </w:rPr>
        <w:t>942,9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E3134D">
        <w:rPr>
          <w:rFonts w:ascii="Times New Roman" w:hAnsi="Times New Roman"/>
          <w:sz w:val="28"/>
          <w:szCs w:val="28"/>
          <w:lang w:eastAsia="ru-RU"/>
        </w:rPr>
        <w:t>21,9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E3134D">
        <w:rPr>
          <w:rFonts w:ascii="Times New Roman" w:hAnsi="Times New Roman"/>
          <w:sz w:val="28"/>
          <w:szCs w:val="28"/>
          <w:lang w:eastAsia="ru-RU"/>
        </w:rPr>
        <w:t>дефи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E3134D">
        <w:rPr>
          <w:rFonts w:ascii="Times New Roman" w:hAnsi="Times New Roman"/>
          <w:sz w:val="28"/>
          <w:szCs w:val="28"/>
          <w:lang w:eastAsia="ru-RU"/>
        </w:rPr>
        <w:t>53,9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67542" w:rsidRDefault="00F67542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0102E" w:rsidRDefault="00F0102E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02E" w:rsidRPr="00B3450B" w:rsidRDefault="00F0102E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67542" w:rsidRDefault="00A954F2" w:rsidP="00A66DD9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54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F67542">
      <w:pPr>
        <w:spacing w:after="12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89467C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926228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926228" w:rsidP="00E37C7C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F2779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0" w:type="dxa"/>
            <w:gridSpan w:val="3"/>
          </w:tcPr>
          <w:p w:rsidR="00926228" w:rsidRPr="0089467C" w:rsidRDefault="00F27790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590326"/>
        </w:tc>
        <w:tc>
          <w:tcPr>
            <w:tcW w:w="1410" w:type="dxa"/>
            <w:vMerge/>
          </w:tcPr>
          <w:p w:rsidR="00926228" w:rsidRPr="0089467C" w:rsidRDefault="00926228" w:rsidP="00590326"/>
        </w:tc>
        <w:tc>
          <w:tcPr>
            <w:tcW w:w="1410" w:type="dxa"/>
          </w:tcPr>
          <w:p w:rsidR="00926228" w:rsidRPr="0089467C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926228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926228" w:rsidP="00034B3D">
            <w:pPr>
              <w:ind w:right="-108"/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</w:t>
            </w:r>
            <w:r w:rsidR="00F2779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3134D" w:rsidTr="0027298D">
        <w:tc>
          <w:tcPr>
            <w:tcW w:w="4012" w:type="dxa"/>
          </w:tcPr>
          <w:p w:rsidR="00E3134D" w:rsidRPr="00C46869" w:rsidRDefault="00E3134D" w:rsidP="00E3134D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3948,8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22,5</w:t>
            </w:r>
          </w:p>
        </w:tc>
      </w:tr>
      <w:tr w:rsidR="00E3134D" w:rsidTr="0027298D">
        <w:tc>
          <w:tcPr>
            <w:tcW w:w="4012" w:type="dxa"/>
          </w:tcPr>
          <w:p w:rsidR="00E3134D" w:rsidRDefault="00E3134D" w:rsidP="00E313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E3134D" w:rsidTr="0027298D">
        <w:trPr>
          <w:trHeight w:val="152"/>
        </w:trPr>
        <w:tc>
          <w:tcPr>
            <w:tcW w:w="4012" w:type="dxa"/>
          </w:tcPr>
          <w:p w:rsidR="00E3134D" w:rsidRDefault="00E3134D" w:rsidP="00E3134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E3134D" w:rsidTr="00FD1B31">
        <w:trPr>
          <w:trHeight w:val="180"/>
        </w:trPr>
        <w:tc>
          <w:tcPr>
            <w:tcW w:w="4012" w:type="dxa"/>
          </w:tcPr>
          <w:p w:rsidR="00E3134D" w:rsidRPr="00455C0D" w:rsidRDefault="00E3134D" w:rsidP="00E3134D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E3134D" w:rsidTr="009C0FCD">
        <w:tc>
          <w:tcPr>
            <w:tcW w:w="4012" w:type="dxa"/>
          </w:tcPr>
          <w:p w:rsidR="00E3134D" w:rsidRPr="00F0102E" w:rsidRDefault="00E3134D" w:rsidP="00E3134D">
            <w:pPr>
              <w:rPr>
                <w:b/>
              </w:rPr>
            </w:pPr>
            <w:r w:rsidRPr="00F010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3711,8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23,2</w:t>
            </w:r>
          </w:p>
        </w:tc>
      </w:tr>
      <w:tr w:rsidR="00E3134D" w:rsidTr="009C0FCD">
        <w:tc>
          <w:tcPr>
            <w:tcW w:w="4012" w:type="dxa"/>
          </w:tcPr>
          <w:p w:rsidR="00E3134D" w:rsidRDefault="00E3134D" w:rsidP="00E3134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3412,9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E3134D" w:rsidTr="0027298D">
        <w:tc>
          <w:tcPr>
            <w:tcW w:w="4012" w:type="dxa"/>
          </w:tcPr>
          <w:p w:rsidR="00E3134D" w:rsidRPr="000A0426" w:rsidRDefault="00E3134D" w:rsidP="00E3134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134D" w:rsidTr="0027298D">
        <w:tc>
          <w:tcPr>
            <w:tcW w:w="4012" w:type="dxa"/>
          </w:tcPr>
          <w:p w:rsidR="00E3134D" w:rsidRDefault="00E3134D" w:rsidP="00E3134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D" w:rsidRPr="001C3F15" w:rsidRDefault="00E3134D" w:rsidP="00E31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</w:tbl>
    <w:p w:rsidR="006E413F" w:rsidRDefault="00CA77E7" w:rsidP="00FD1B31">
      <w:pPr>
        <w:tabs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34D">
        <w:rPr>
          <w:rFonts w:ascii="Times New Roman" w:hAnsi="Times New Roman"/>
          <w:sz w:val="28"/>
          <w:szCs w:val="28"/>
          <w:lang w:eastAsia="ru-RU"/>
        </w:rPr>
        <w:t xml:space="preserve">28,7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0102E">
        <w:rPr>
          <w:rFonts w:ascii="Times New Roman" w:hAnsi="Times New Roman"/>
          <w:sz w:val="28"/>
          <w:szCs w:val="28"/>
          <w:lang w:eastAsia="ru-RU"/>
        </w:rPr>
        <w:t>1</w:t>
      </w:r>
      <w:r w:rsidR="00E3134D">
        <w:rPr>
          <w:rFonts w:ascii="Times New Roman" w:hAnsi="Times New Roman"/>
          <w:sz w:val="28"/>
          <w:szCs w:val="28"/>
          <w:lang w:eastAsia="ru-RU"/>
        </w:rPr>
        <w:t>2,1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E3134D">
        <w:rPr>
          <w:rFonts w:ascii="Times New Roman" w:hAnsi="Times New Roman"/>
          <w:sz w:val="28"/>
          <w:szCs w:val="28"/>
          <w:lang w:eastAsia="ru-RU"/>
        </w:rPr>
        <w:t>25,5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3134D">
        <w:rPr>
          <w:rFonts w:ascii="Times New Roman" w:hAnsi="Times New Roman"/>
          <w:sz w:val="28"/>
          <w:szCs w:val="28"/>
          <w:lang w:eastAsia="ru-RU"/>
        </w:rPr>
        <w:t>11,4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F27790">
        <w:rPr>
          <w:rFonts w:ascii="Times New Roman" w:hAnsi="Times New Roman"/>
          <w:sz w:val="28"/>
          <w:szCs w:val="28"/>
          <w:lang w:eastAsia="ru-RU"/>
        </w:rPr>
        <w:t>2022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34D">
        <w:rPr>
          <w:rFonts w:ascii="Times New Roman" w:hAnsi="Times New Roman"/>
          <w:sz w:val="28"/>
          <w:szCs w:val="28"/>
          <w:lang w:eastAsia="ru-RU"/>
        </w:rPr>
        <w:t>1,7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E3134D">
        <w:rPr>
          <w:rFonts w:ascii="Times New Roman" w:hAnsi="Times New Roman"/>
          <w:sz w:val="28"/>
          <w:szCs w:val="28"/>
          <w:lang w:eastAsia="ru-RU"/>
        </w:rPr>
        <w:t>6,2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2E">
        <w:rPr>
          <w:rFonts w:ascii="Times New Roman" w:hAnsi="Times New Roman"/>
          <w:sz w:val="28"/>
          <w:szCs w:val="28"/>
          <w:lang w:eastAsia="ru-RU"/>
        </w:rPr>
        <w:t>меньше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на уровне </w:t>
      </w:r>
      <w:r w:rsidR="00E3134D">
        <w:rPr>
          <w:rFonts w:ascii="Times New Roman" w:hAnsi="Times New Roman"/>
          <w:sz w:val="28"/>
          <w:szCs w:val="28"/>
          <w:lang w:eastAsia="ru-RU"/>
        </w:rPr>
        <w:t>а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налогичного периода </w:t>
      </w:r>
      <w:r w:rsidR="00F27790">
        <w:rPr>
          <w:rFonts w:ascii="Times New Roman" w:hAnsi="Times New Roman"/>
          <w:sz w:val="28"/>
          <w:szCs w:val="28"/>
          <w:lang w:eastAsia="ru-RU"/>
        </w:rPr>
        <w:t>2022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89467C">
        <w:rPr>
          <w:rFonts w:ascii="Times New Roman" w:hAnsi="Times New Roman"/>
          <w:sz w:val="28"/>
          <w:szCs w:val="28"/>
          <w:lang w:eastAsia="ru-RU"/>
        </w:rPr>
        <w:t>3,2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 (24,6 % от плана на год). 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Pr="00A707E7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E3134D">
        <w:rPr>
          <w:rFonts w:ascii="Times New Roman" w:hAnsi="Times New Roman"/>
          <w:sz w:val="28"/>
          <w:szCs w:val="28"/>
          <w:lang w:eastAsia="ru-RU"/>
        </w:rPr>
        <w:t xml:space="preserve">13,8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3134D">
        <w:rPr>
          <w:rFonts w:ascii="Times New Roman" w:hAnsi="Times New Roman"/>
          <w:sz w:val="28"/>
          <w:szCs w:val="28"/>
          <w:lang w:eastAsia="ru-RU"/>
        </w:rPr>
        <w:t xml:space="preserve">12,9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год, в том числе: земельный налог с организаций – </w:t>
      </w:r>
      <w:r w:rsidR="00E3134D">
        <w:rPr>
          <w:rFonts w:ascii="Times New Roman" w:hAnsi="Times New Roman"/>
          <w:sz w:val="28"/>
          <w:szCs w:val="28"/>
          <w:lang w:eastAsia="ru-RU"/>
        </w:rPr>
        <w:t xml:space="preserve">13,7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26,3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 xml:space="preserve">0,1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0,2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F27790">
        <w:rPr>
          <w:rFonts w:ascii="Times New Roman" w:hAnsi="Times New Roman"/>
          <w:sz w:val="28"/>
          <w:szCs w:val="28"/>
          <w:lang w:eastAsia="ru-RU"/>
        </w:rPr>
        <w:t>2022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 земельного налога поступило</w:t>
      </w:r>
      <w:r w:rsidR="00E31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3134D">
        <w:rPr>
          <w:rFonts w:ascii="Times New Roman" w:hAnsi="Times New Roman"/>
          <w:sz w:val="28"/>
          <w:szCs w:val="28"/>
          <w:lang w:eastAsia="ru-RU"/>
        </w:rPr>
        <w:t>3,9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CB6606">
        <w:rPr>
          <w:rFonts w:ascii="Times New Roman" w:hAnsi="Times New Roman"/>
          <w:sz w:val="28"/>
          <w:szCs w:val="28"/>
          <w:lang w:eastAsia="ru-RU"/>
        </w:rPr>
        <w:t>3</w:t>
      </w:r>
      <w:r w:rsidR="00E3134D">
        <w:rPr>
          <w:rFonts w:ascii="Times New Roman" w:hAnsi="Times New Roman"/>
          <w:sz w:val="28"/>
          <w:szCs w:val="28"/>
          <w:lang w:eastAsia="ru-RU"/>
        </w:rPr>
        <w:t>9,4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667EDC" w:rsidRPr="00553506" w:rsidRDefault="00F0102E" w:rsidP="00667E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EDC" w:rsidRPr="00A707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67EDC" w:rsidRPr="008532F7">
        <w:rPr>
          <w:rFonts w:ascii="Times New Roman" w:hAnsi="Times New Roman"/>
          <w:sz w:val="28"/>
          <w:szCs w:val="28"/>
          <w:lang w:eastAsia="ru-RU"/>
        </w:rPr>
        <w:t>н</w:t>
      </w:r>
      <w:r w:rsidR="00667EDC" w:rsidRPr="008532F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исполнен с отрицательным значением (-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0,6</w:t>
      </w:r>
      <w:r w:rsidR="00667EDC" w:rsidRPr="008532F7">
        <w:rPr>
          <w:rFonts w:ascii="Times New Roman" w:hAnsi="Times New Roman"/>
          <w:iCs/>
          <w:sz w:val="28"/>
          <w:szCs w:val="28"/>
          <w:lang w:eastAsia="ru-RU"/>
        </w:rPr>
        <w:t>) тыс. рублей что</w:t>
      </w:r>
      <w:r w:rsidR="00667EDC" w:rsidRPr="008532F7">
        <w:rPr>
          <w:rFonts w:ascii="Times New Roman" w:hAnsi="Times New Roman"/>
          <w:sz w:val="28"/>
          <w:szCs w:val="28"/>
          <w:lang w:eastAsia="ru-RU"/>
        </w:rPr>
        <w:t xml:space="preserve"> обусловлено возвратами данного налога заявителям по причине изменения кадастровой стоимости имущества, за которые начисляется налог;</w:t>
      </w:r>
    </w:p>
    <w:p w:rsidR="00F0102E" w:rsidRPr="00A707E7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E3134D">
        <w:rPr>
          <w:rFonts w:ascii="Times New Roman" w:hAnsi="Times New Roman"/>
          <w:sz w:val="28"/>
          <w:szCs w:val="28"/>
          <w:lang w:eastAsia="ru-RU"/>
        </w:rPr>
        <w:t>10,4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E3134D">
        <w:rPr>
          <w:rFonts w:ascii="Times New Roman" w:hAnsi="Times New Roman"/>
          <w:sz w:val="28"/>
          <w:szCs w:val="28"/>
          <w:lang w:eastAsia="ru-RU"/>
        </w:rPr>
        <w:t>17,3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</w:t>
      </w:r>
      <w:r w:rsidR="00F27790">
        <w:rPr>
          <w:rFonts w:ascii="Times New Roman" w:hAnsi="Times New Roman"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год), что </w:t>
      </w:r>
      <w:r w:rsidR="00E3134D">
        <w:rPr>
          <w:rFonts w:ascii="Times New Roman" w:hAnsi="Times New Roman"/>
          <w:sz w:val="28"/>
          <w:szCs w:val="28"/>
          <w:lang w:eastAsia="ru-RU"/>
        </w:rPr>
        <w:t>меньше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3134D">
        <w:rPr>
          <w:rFonts w:ascii="Times New Roman" w:hAnsi="Times New Roman"/>
          <w:sz w:val="28"/>
          <w:szCs w:val="28"/>
          <w:lang w:eastAsia="ru-RU"/>
        </w:rPr>
        <w:t>1,3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E3134D">
        <w:rPr>
          <w:rFonts w:ascii="Times New Roman" w:hAnsi="Times New Roman"/>
          <w:sz w:val="28"/>
          <w:szCs w:val="28"/>
          <w:lang w:eastAsia="ru-RU"/>
        </w:rPr>
        <w:t>11,1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квартал </w:t>
      </w:r>
      <w:r w:rsidR="00F27790">
        <w:rPr>
          <w:rFonts w:ascii="Times New Roman" w:hAnsi="Times New Roman"/>
          <w:sz w:val="28"/>
          <w:szCs w:val="28"/>
          <w:lang w:eastAsia="ru-RU"/>
        </w:rPr>
        <w:t>2022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поступили в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1,9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, или на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95,0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</w:t>
      </w:r>
      <w:r w:rsidR="00F27790">
        <w:rPr>
          <w:rFonts w:ascii="Times New Roman" w:hAnsi="Times New Roman"/>
          <w:iCs/>
          <w:sz w:val="28"/>
          <w:szCs w:val="28"/>
          <w:lang w:eastAsia="ru-RU"/>
        </w:rPr>
        <w:t>2023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год.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К уровню аналогичного периода </w:t>
      </w:r>
      <w:r w:rsidR="00F27790">
        <w:rPr>
          <w:rFonts w:ascii="Times New Roman" w:hAnsi="Times New Roman"/>
          <w:iCs/>
          <w:sz w:val="28"/>
          <w:szCs w:val="28"/>
          <w:lang w:eastAsia="ru-RU"/>
        </w:rPr>
        <w:t>2022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года поступления от госпошлины составили </w:t>
      </w:r>
      <w:r w:rsidR="00E3134D">
        <w:rPr>
          <w:rFonts w:ascii="Times New Roman" w:hAnsi="Times New Roman"/>
          <w:iCs/>
          <w:sz w:val="28"/>
          <w:szCs w:val="28"/>
          <w:lang w:eastAsia="ru-RU"/>
        </w:rPr>
        <w:t>45,2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% (з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1 квартал </w:t>
      </w:r>
      <w:r w:rsidR="00F27790">
        <w:rPr>
          <w:rFonts w:ascii="Times New Roman" w:hAnsi="Times New Roman"/>
          <w:iCs/>
          <w:sz w:val="28"/>
          <w:szCs w:val="28"/>
          <w:lang w:eastAsia="ru-RU"/>
        </w:rPr>
        <w:t>2022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года поступило госпошлины на сумму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4,2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CB6606" w:rsidRPr="00CB6606" w:rsidRDefault="00CB6606" w:rsidP="00CB66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 xml:space="preserve">доходами 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>от использования муниципального имущества (сдача имущества в аренду)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, исполнены на уровне 2022 года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 xml:space="preserve">3,2 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>24,6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По сравнению с 1 кварталом </w:t>
      </w:r>
      <w:r w:rsidR="00F27790">
        <w:rPr>
          <w:rFonts w:ascii="Times New Roman" w:eastAsia="Calibri" w:hAnsi="Times New Roman"/>
          <w:iCs/>
          <w:sz w:val="28"/>
          <w:szCs w:val="28"/>
        </w:rPr>
        <w:t>2022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года налоговых и неналоговых доходов поступило </w:t>
      </w:r>
      <w:r w:rsidR="00667EDC">
        <w:rPr>
          <w:rFonts w:ascii="Times New Roman" w:eastAsia="Calibri" w:hAnsi="Times New Roman"/>
          <w:iCs/>
          <w:sz w:val="28"/>
          <w:szCs w:val="28"/>
        </w:rPr>
        <w:t xml:space="preserve">меньше </w:t>
      </w:r>
      <w:r>
        <w:rPr>
          <w:rFonts w:ascii="Times New Roman" w:eastAsia="Calibri" w:hAnsi="Times New Roman"/>
          <w:iCs/>
          <w:sz w:val="28"/>
          <w:szCs w:val="28"/>
        </w:rPr>
        <w:t xml:space="preserve">на </w:t>
      </w:r>
      <w:r w:rsidR="00667EDC">
        <w:rPr>
          <w:rFonts w:ascii="Times New Roman" w:eastAsia="Calibri" w:hAnsi="Times New Roman"/>
          <w:iCs/>
          <w:sz w:val="28"/>
          <w:szCs w:val="28"/>
        </w:rPr>
        <w:t xml:space="preserve">1,7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рублей. Их доля в общем объеме доходов поселения – </w:t>
      </w:r>
      <w:r w:rsidR="00667EDC">
        <w:rPr>
          <w:rFonts w:ascii="Times New Roman" w:eastAsia="Calibri" w:hAnsi="Times New Roman"/>
          <w:iCs/>
          <w:sz w:val="28"/>
          <w:szCs w:val="28"/>
        </w:rPr>
        <w:t xml:space="preserve">3,2 </w:t>
      </w:r>
      <w:r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667EDC">
        <w:rPr>
          <w:rFonts w:ascii="Times New Roman" w:hAnsi="Times New Roman"/>
          <w:bCs/>
          <w:sz w:val="28"/>
          <w:szCs w:val="28"/>
          <w:lang w:eastAsia="ru-RU"/>
        </w:rPr>
        <w:t>860,3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Pr="00154BE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67EDC">
        <w:rPr>
          <w:rFonts w:ascii="Times New Roman" w:hAnsi="Times New Roman"/>
          <w:bCs/>
          <w:sz w:val="28"/>
          <w:szCs w:val="28"/>
          <w:lang w:eastAsia="ru-RU"/>
        </w:rPr>
        <w:t>3,2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846,3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4,8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49,6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3,9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 xml:space="preserve">696,7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(25,0 % от планового показателя);</w:t>
      </w:r>
    </w:p>
    <w:p w:rsidR="00667EDC" w:rsidRPr="00667EDC" w:rsidRDefault="00FD1B31" w:rsidP="00667E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67EDC" w:rsidRPr="00667EDC">
        <w:rPr>
          <w:rFonts w:ascii="Times New Roman" w:eastAsia="Calibri" w:hAnsi="Times New Roman"/>
          <w:iCs/>
          <w:sz w:val="28"/>
          <w:szCs w:val="28"/>
        </w:rPr>
        <w:t xml:space="preserve">        - субсидии при годовом плановом показателе </w:t>
      </w:r>
      <w:r w:rsidR="00667EDC">
        <w:rPr>
          <w:rFonts w:ascii="Times New Roman" w:eastAsia="Calibri" w:hAnsi="Times New Roman"/>
          <w:iCs/>
          <w:sz w:val="28"/>
          <w:szCs w:val="28"/>
        </w:rPr>
        <w:t>163,9</w:t>
      </w:r>
      <w:r w:rsidR="00667EDC" w:rsidRPr="00667EDC">
        <w:rPr>
          <w:rFonts w:ascii="Times New Roman" w:eastAsia="Calibri" w:hAnsi="Times New Roman"/>
          <w:iCs/>
          <w:sz w:val="28"/>
          <w:szCs w:val="28"/>
        </w:rPr>
        <w:t xml:space="preserve"> тыс. рублей в 1 квартале не поступали;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- субвенции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 xml:space="preserve">14,0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(1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0,4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на осуществление первичного воинского учета 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14,0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 xml:space="preserve"> (10,5 % от годового плана), субвенции </w:t>
      </w:r>
      <w:r w:rsidR="00DC6582">
        <w:rPr>
          <w:rFonts w:ascii="Times New Roman" w:hAnsi="Times New Roman"/>
          <w:iCs/>
          <w:sz w:val="28"/>
          <w:szCs w:val="28"/>
          <w:lang w:eastAsia="ru-RU"/>
        </w:rPr>
        <w:t>освоены на 100,0 %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D1B31" w:rsidRPr="00154BE0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</w:t>
      </w:r>
      <w:r w:rsidR="00F27790">
        <w:rPr>
          <w:rFonts w:ascii="Times New Roman" w:hAnsi="Times New Roman"/>
          <w:bCs/>
          <w:iCs/>
          <w:sz w:val="28"/>
          <w:szCs w:val="28"/>
          <w:lang w:eastAsia="ru-RU"/>
        </w:rPr>
        <w:t>2022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безвозмездных поступлений поступило </w:t>
      </w:r>
      <w:r w:rsidR="00667ED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меньше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667EDC">
        <w:rPr>
          <w:rFonts w:ascii="Times New Roman" w:hAnsi="Times New Roman"/>
          <w:bCs/>
          <w:iCs/>
          <w:sz w:val="28"/>
          <w:szCs w:val="28"/>
          <w:lang w:eastAsia="ru-RU"/>
        </w:rPr>
        <w:t>7,1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667EDC">
        <w:rPr>
          <w:rFonts w:ascii="Times New Roman" w:hAnsi="Times New Roman"/>
          <w:bCs/>
          <w:iCs/>
          <w:sz w:val="28"/>
          <w:szCs w:val="28"/>
          <w:lang w:eastAsia="ru-RU"/>
        </w:rPr>
        <w:t>3,1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96,</w:t>
      </w:r>
      <w:r w:rsidR="00667EDC">
        <w:rPr>
          <w:rFonts w:ascii="Times New Roman" w:hAnsi="Times New Roman"/>
          <w:iCs/>
          <w:sz w:val="28"/>
          <w:szCs w:val="28"/>
          <w:lang w:eastAsia="ru-RU"/>
        </w:rPr>
        <w:t>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размер поступлений за 1 квартал текущего года у</w:t>
      </w:r>
      <w:r w:rsidR="00667EDC">
        <w:rPr>
          <w:rFonts w:ascii="Times New Roman" w:hAnsi="Times New Roman"/>
          <w:sz w:val="28"/>
          <w:szCs w:val="28"/>
          <w:lang w:eastAsia="ru-RU"/>
        </w:rPr>
        <w:t>меньшился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667EDC">
        <w:rPr>
          <w:rFonts w:ascii="Times New Roman" w:hAnsi="Times New Roman"/>
          <w:sz w:val="28"/>
          <w:szCs w:val="28"/>
          <w:lang w:eastAsia="ru-RU"/>
        </w:rPr>
        <w:t>28,8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</w:t>
      </w:r>
      <w:r w:rsidRPr="00154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EDC">
        <w:rPr>
          <w:rFonts w:ascii="Times New Roman" w:hAnsi="Times New Roman"/>
          <w:sz w:val="28"/>
          <w:szCs w:val="28"/>
          <w:lang w:eastAsia="ru-RU"/>
        </w:rPr>
        <w:t xml:space="preserve">3,1 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592217" w:rsidRPr="00592217">
        <w:rPr>
          <w:rFonts w:ascii="Times New Roman" w:hAnsi="Times New Roman"/>
          <w:sz w:val="28"/>
          <w:szCs w:val="28"/>
        </w:rPr>
        <w:t>за счет снижения поступления налоговых доходов</w:t>
      </w:r>
      <w:r w:rsidR="00592217">
        <w:rPr>
          <w:rFonts w:ascii="Times New Roman" w:hAnsi="Times New Roman"/>
          <w:sz w:val="28"/>
          <w:szCs w:val="28"/>
        </w:rPr>
        <w:t>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Кемское по видам доходов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представлен в приложении 1 к Заключению. 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Расходы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бюджета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составили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942,9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2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 xml:space="preserve">1,9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к годовым плановым назначениям. Анализ исполнения расходной части бюджета поселения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представлен в таблице:                                                   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134"/>
        <w:gridCol w:w="1276"/>
        <w:gridCol w:w="1099"/>
      </w:tblGrid>
      <w:tr w:rsidR="00FD1B31" w:rsidRPr="00FD1B31" w:rsidTr="00FD1B31">
        <w:trPr>
          <w:trHeight w:val="255"/>
        </w:trPr>
        <w:tc>
          <w:tcPr>
            <w:tcW w:w="3369" w:type="dxa"/>
            <w:vMerge w:val="restart"/>
            <w:noWrap/>
          </w:tcPr>
          <w:p w:rsidR="00FD1B31" w:rsidRPr="00FD1B31" w:rsidRDefault="00FD1B31" w:rsidP="00FD1B31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FD1B31" w:rsidRPr="00FD1B31" w:rsidRDefault="00FD1B31" w:rsidP="00FD1B31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Исполнено за 1 квартал </w:t>
            </w:r>
            <w:r w:rsidR="00F27790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2022</w:t>
            </w: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785" w:type="dxa"/>
            <w:gridSpan w:val="4"/>
          </w:tcPr>
          <w:p w:rsidR="00FD1B31" w:rsidRPr="00FD1B31" w:rsidRDefault="00F27790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2023</w:t>
            </w:r>
            <w:r w:rsidR="00FD1B31"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FD1B31" w:rsidRPr="00FD1B31" w:rsidTr="00FD1B31">
        <w:trPr>
          <w:trHeight w:val="897"/>
        </w:trPr>
        <w:tc>
          <w:tcPr>
            <w:tcW w:w="3369" w:type="dxa"/>
            <w:vMerge/>
            <w:noWrap/>
          </w:tcPr>
          <w:p w:rsidR="00FD1B31" w:rsidRPr="00FD1B31" w:rsidRDefault="00FD1B31" w:rsidP="00FD1B31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 исполнения к уточненному бюджету</w:t>
            </w:r>
          </w:p>
        </w:tc>
        <w:tc>
          <w:tcPr>
            <w:tcW w:w="1099" w:type="dxa"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% исполнения к уровню </w:t>
            </w:r>
            <w:r w:rsidR="00F27790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2022</w:t>
            </w: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9" w:type="dxa"/>
            <w:noWrap/>
          </w:tcPr>
          <w:p w:rsidR="00FD1B31" w:rsidRPr="00FD1B31" w:rsidRDefault="00FD1B31" w:rsidP="00FD1B31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67542" w:rsidRPr="00FD1B31" w:rsidTr="007814E9">
        <w:trPr>
          <w:trHeight w:val="223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567,5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2951,8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23,2%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120,9%</w:t>
            </w:r>
          </w:p>
        </w:tc>
      </w:tr>
      <w:tr w:rsidR="00F67542" w:rsidRPr="00FD1B31" w:rsidTr="007814E9">
        <w:trPr>
          <w:trHeight w:val="255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84,3%</w:t>
            </w:r>
          </w:p>
        </w:tc>
      </w:tr>
      <w:tr w:rsidR="00F67542" w:rsidRPr="00FD1B31" w:rsidTr="007814E9">
        <w:trPr>
          <w:trHeight w:val="283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color w:val="FFFFFF"/>
                <w:sz w:val="20"/>
                <w:szCs w:val="20"/>
              </w:rPr>
              <w:t>#Д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-</w:t>
            </w:r>
            <w:r w:rsidRPr="00F67542">
              <w:rPr>
                <w:rFonts w:ascii="Times New Roman" w:hAnsi="Times New Roman"/>
                <w:color w:val="FFFFFF"/>
                <w:sz w:val="20"/>
                <w:szCs w:val="20"/>
              </w:rPr>
              <w:t>ЕЛ/0!</w:t>
            </w:r>
          </w:p>
        </w:tc>
      </w:tr>
      <w:tr w:rsidR="00F67542" w:rsidRPr="00FD1B31" w:rsidTr="007814E9">
        <w:trPr>
          <w:trHeight w:val="150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17,6%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51,7%</w:t>
            </w:r>
          </w:p>
        </w:tc>
      </w:tr>
      <w:tr w:rsidR="00F67542" w:rsidRPr="00FD1B31" w:rsidTr="007814E9">
        <w:trPr>
          <w:trHeight w:val="255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F67542" w:rsidRPr="00FD1B31" w:rsidTr="007814E9">
        <w:trPr>
          <w:trHeight w:val="255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104,0%</w:t>
            </w:r>
          </w:p>
        </w:tc>
      </w:tr>
      <w:tr w:rsidR="00F67542" w:rsidRPr="00FD1B31" w:rsidTr="007814E9">
        <w:trPr>
          <w:trHeight w:val="255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F67542" w:rsidRPr="00FD1B31" w:rsidTr="007814E9">
        <w:trPr>
          <w:trHeight w:val="245"/>
        </w:trPr>
        <w:tc>
          <w:tcPr>
            <w:tcW w:w="3369" w:type="dxa"/>
          </w:tcPr>
          <w:p w:rsidR="00F67542" w:rsidRPr="00FD1B31" w:rsidRDefault="00F67542" w:rsidP="00F67542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42">
              <w:rPr>
                <w:rFonts w:ascii="Times New Roman" w:hAnsi="Times New Roman"/>
                <w:sz w:val="20"/>
                <w:szCs w:val="20"/>
              </w:rPr>
              <w:t>104,2%</w:t>
            </w:r>
          </w:p>
        </w:tc>
      </w:tr>
      <w:tr w:rsidR="00F67542" w:rsidRPr="00FD1B31" w:rsidTr="00FD1B31">
        <w:trPr>
          <w:trHeight w:val="255"/>
        </w:trPr>
        <w:tc>
          <w:tcPr>
            <w:tcW w:w="3369" w:type="dxa"/>
            <w:noWrap/>
          </w:tcPr>
          <w:p w:rsidR="00F67542" w:rsidRPr="00FD1B31" w:rsidRDefault="00F67542" w:rsidP="00F6754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42">
              <w:rPr>
                <w:rFonts w:ascii="Times New Roman" w:hAnsi="Times New Roman"/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42">
              <w:rPr>
                <w:rFonts w:ascii="Times New Roman" w:hAnsi="Times New Roman"/>
                <w:b/>
                <w:bCs/>
                <w:sz w:val="20"/>
                <w:szCs w:val="20"/>
              </w:rPr>
              <w:t>4312,9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42">
              <w:rPr>
                <w:rFonts w:ascii="Times New Roman" w:hAnsi="Times New Roman"/>
                <w:b/>
                <w:bCs/>
                <w:sz w:val="20"/>
                <w:szCs w:val="20"/>
              </w:rPr>
              <w:t>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42">
              <w:rPr>
                <w:rFonts w:ascii="Times New Roman" w:hAnsi="Times New Roman"/>
                <w:b/>
                <w:bCs/>
                <w:sz w:val="20"/>
                <w:szCs w:val="20"/>
              </w:rPr>
              <w:t>21,9%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42" w:rsidRPr="00F67542" w:rsidRDefault="00F67542" w:rsidP="00F675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42">
              <w:rPr>
                <w:rFonts w:ascii="Times New Roman" w:hAnsi="Times New Roman"/>
                <w:b/>
                <w:bCs/>
                <w:sz w:val="20"/>
                <w:szCs w:val="20"/>
              </w:rPr>
              <w:t>107,1%</w:t>
            </w:r>
          </w:p>
        </w:tc>
      </w:tr>
    </w:tbl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01 «Общегосударственные вопросы»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 годового плана составило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686,1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18,4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к уточненным бюджетным назначениям. По сравнению с аналогичным периодом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объем расходов увеличился на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118,6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20,9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72,8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171,5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18,4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годовых бюджетных назначений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 xml:space="preserve"> и 92,6 % к показателю 2022 года (-13,8 тыс. рублей).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476,3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, и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ли 2</w:t>
      </w:r>
      <w:r w:rsidR="00F67542">
        <w:rPr>
          <w:rFonts w:ascii="Times New Roman" w:eastAsia="Calibri" w:hAnsi="Times New Roman"/>
          <w:sz w:val="28"/>
          <w:szCs w:val="28"/>
          <w:lang w:eastAsia="ru-RU"/>
        </w:rPr>
        <w:t>5,8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FD1B31" w:rsidRPr="00FD1B31" w:rsidRDefault="00FE70C7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1 квартала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первоначальный плановый показатель (</w:t>
      </w:r>
      <w:r>
        <w:rPr>
          <w:rFonts w:ascii="Times New Roman" w:eastAsia="Calibri" w:hAnsi="Times New Roman"/>
          <w:sz w:val="28"/>
          <w:szCs w:val="28"/>
          <w:lang w:eastAsia="ru-RU"/>
        </w:rPr>
        <w:t>1572,4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</w:t>
      </w:r>
      <w:r>
        <w:rPr>
          <w:rFonts w:ascii="Times New Roman" w:eastAsia="Calibri" w:hAnsi="Times New Roman"/>
          <w:sz w:val="28"/>
          <w:szCs w:val="28"/>
          <w:lang w:eastAsia="ru-RU"/>
        </w:rPr>
        <w:t>величен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273,5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17,4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845,9 тыс. рублей (увеличены расходы на выплаты персоналу).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FD1B31" w:rsidRPr="00FD1B31" w:rsidRDefault="00FE70C7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</w:t>
      </w:r>
      <w:r w:rsidRPr="00FE70C7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органов местного самоуправления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/>
          <w:sz w:val="28"/>
          <w:szCs w:val="28"/>
          <w:lang w:eastAsia="ru-RU"/>
        </w:rPr>
        <w:t>470,3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(25,8 % от годового плана)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162,2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308,1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5,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9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 (24,8 % от годового плана).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Бюджетные назначения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сумме 34,7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25,0 %.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25,9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8,8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</w:t>
      </w:r>
    </w:p>
    <w:p w:rsidR="00FE70C7" w:rsidRPr="00FE70C7" w:rsidRDefault="00FD1B31" w:rsidP="00FE70C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E70C7" w:rsidRPr="00FE70C7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="00FE70C7" w:rsidRPr="00FE70C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="00FE70C7" w:rsidRPr="00FE70C7">
        <w:rPr>
          <w:rFonts w:ascii="Times New Roman" w:eastAsia="Calibri" w:hAnsi="Times New Roman"/>
          <w:sz w:val="28"/>
          <w:szCs w:val="28"/>
          <w:lang w:eastAsia="ru-RU"/>
        </w:rPr>
        <w:t xml:space="preserve"> в отчетном периоде исполнены в сумме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3,6</w:t>
      </w:r>
      <w:r w:rsidR="00FE70C7" w:rsidRPr="00FE70C7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30,0</w:t>
      </w:r>
      <w:r w:rsidR="00FE70C7" w:rsidRPr="00FE70C7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плана. Средства были направлены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E70C7" w:rsidRPr="00FE70C7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ской области».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В 1 квартале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финансирование расходов из Резервного фонда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поселения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не производилось.  </w:t>
      </w:r>
    </w:p>
    <w:p w:rsidR="00FD1B31" w:rsidRPr="00FD1B31" w:rsidRDefault="00DC6582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="00FD1B31"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="00FD1B31"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14,0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тыс. рублей, или 1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0,5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 xml:space="preserve">84,3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%.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произведены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субвенции из федерального бюджета на осуществление первичного воинского учета. Средства направлены на выплаты персоналу.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при годовом плановом показателе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45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,0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рублей в 1 квартале не исполнены.</w:t>
      </w:r>
    </w:p>
    <w:p w:rsidR="00462ED9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62,2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E70C7">
        <w:rPr>
          <w:rFonts w:ascii="Times New Roman" w:eastAsia="Calibri" w:hAnsi="Times New Roman"/>
          <w:sz w:val="28"/>
          <w:szCs w:val="28"/>
          <w:lang w:eastAsia="ru-RU"/>
        </w:rPr>
        <w:t>17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,6 % от плана. По сравнению с аналогичным периодом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объем расходов уменьшился на </w:t>
      </w:r>
      <w:r w:rsidR="00462ED9">
        <w:rPr>
          <w:rFonts w:ascii="Times New Roman" w:eastAsia="Calibri" w:hAnsi="Times New Roman"/>
          <w:sz w:val="28"/>
          <w:szCs w:val="28"/>
          <w:lang w:eastAsia="ru-RU"/>
        </w:rPr>
        <w:t>58,1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62ED9">
        <w:rPr>
          <w:rFonts w:ascii="Times New Roman" w:eastAsia="Calibri" w:hAnsi="Times New Roman"/>
          <w:sz w:val="28"/>
          <w:szCs w:val="28"/>
          <w:lang w:eastAsia="ru-RU"/>
        </w:rPr>
        <w:t>48,3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360790" w:rsidRDefault="00FD1B31" w:rsidP="00360790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360790" w:rsidRPr="00360790">
        <w:rPr>
          <w:rFonts w:ascii="Times New Roman" w:eastAsia="Calibri" w:hAnsi="Times New Roman"/>
          <w:sz w:val="28"/>
          <w:szCs w:val="28"/>
          <w:lang w:eastAsia="ru-RU"/>
        </w:rPr>
        <w:t>Расходы исполнены по подразделу</w:t>
      </w:r>
      <w:r w:rsidR="00360790" w:rsidRPr="0036079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0503 «Благоустройство» </w:t>
      </w:r>
      <w:r w:rsidR="00360790" w:rsidRPr="00360790">
        <w:rPr>
          <w:rFonts w:ascii="Times New Roman" w:eastAsia="Calibri" w:hAnsi="Times New Roman"/>
          <w:sz w:val="28"/>
          <w:szCs w:val="28"/>
          <w:lang w:eastAsia="ru-RU"/>
        </w:rPr>
        <w:t xml:space="preserve">в рамках муниципальной программы «Благоустройство территории сельского поселения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 xml:space="preserve">Кемское </w:t>
      </w:r>
      <w:r w:rsidR="00360790" w:rsidRPr="00360790">
        <w:rPr>
          <w:rFonts w:ascii="Times New Roman" w:eastAsia="Calibri" w:hAnsi="Times New Roman"/>
          <w:sz w:val="28"/>
          <w:szCs w:val="28"/>
          <w:lang w:eastAsia="ru-RU"/>
        </w:rPr>
        <w:t xml:space="preserve">на 2021-2025 годы». Средства были направлены: </w:t>
      </w:r>
    </w:p>
    <w:p w:rsidR="00360790" w:rsidRPr="001B7087" w:rsidRDefault="00360790" w:rsidP="003607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плана),</w:t>
      </w:r>
      <w:r w:rsidRPr="00545A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рамках Основного мероприятия </w:t>
      </w:r>
      <w:r w:rsidRPr="00545A1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«Организация уличного освещения»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360790" w:rsidRPr="00360790" w:rsidRDefault="00360790" w:rsidP="00360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790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Pr="00360790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по разделу</w:t>
      </w:r>
      <w:r w:rsidRPr="003607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07 </w:t>
      </w:r>
      <w:r w:rsidRPr="0036079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Образование</w:t>
      </w:r>
      <w:r w:rsidRPr="0036079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360790">
        <w:rPr>
          <w:rFonts w:ascii="Times New Roman" w:hAnsi="Times New Roman"/>
          <w:sz w:val="28"/>
          <w:szCs w:val="28"/>
          <w:lang w:eastAsia="ru-RU"/>
        </w:rPr>
        <w:t xml:space="preserve"> за отчетный период не исполнены.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составило 25,0 %, или 10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4,6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104,0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 xml:space="preserve"> (+4,0 тыс. рублей)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. Исполнены расходы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  </w:t>
      </w:r>
    </w:p>
    <w:p w:rsidR="00FD1B31" w:rsidRPr="00FD1B31" w:rsidRDefault="00FD1B31" w:rsidP="00FD1B3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разделу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расходы в 1 квартале исполнены в </w:t>
      </w:r>
      <w:r w:rsidR="003607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сумме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51,0 тыс. рублей, или на 1</w:t>
      </w:r>
      <w:r w:rsidR="00360790">
        <w:rPr>
          <w:rFonts w:ascii="Times New Roman" w:eastAsia="Calibri" w:hAnsi="Times New Roman"/>
          <w:bCs/>
          <w:sz w:val="28"/>
          <w:szCs w:val="28"/>
          <w:lang w:eastAsia="ru-RU"/>
        </w:rPr>
        <w:t>6,7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% от плана на год. Исполнены на уровне 1 квартала </w:t>
      </w:r>
      <w:r w:rsidR="00F27790">
        <w:rPr>
          <w:rFonts w:ascii="Times New Roman" w:eastAsia="Calibri" w:hAnsi="Times New Roman"/>
          <w:bCs/>
          <w:sz w:val="28"/>
          <w:szCs w:val="28"/>
          <w:lang w:eastAsia="ru-RU"/>
        </w:rPr>
        <w:t>2022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года. Расходы исполнены по подр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обеспечение».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пенсии бывшим главам поселения.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11 «Физическая культура и спорт»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по подразделу 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>1101 «Физическая 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,0 тыс. рублей, или на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из бюджета поселения в бюджет района на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осуществление администрацией района полномочий в сфере физической культуры и спорта по соглашению.</w:t>
      </w:r>
    </w:p>
    <w:p w:rsidR="00FD1B31" w:rsidRPr="00FD1B31" w:rsidRDefault="00360790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Расходы на социальную сферу составили 1</w:t>
      </w:r>
      <w:r>
        <w:rPr>
          <w:rFonts w:ascii="Times New Roman" w:eastAsia="Calibri" w:hAnsi="Times New Roman"/>
          <w:sz w:val="28"/>
          <w:szCs w:val="28"/>
          <w:lang w:eastAsia="ru-RU"/>
        </w:rPr>
        <w:t>80,6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19,2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сравнению с аналогичным периодом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объем расходов бюджета поселения у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величился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>62,9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360790">
        <w:rPr>
          <w:rFonts w:ascii="Times New Roman" w:eastAsia="Calibri" w:hAnsi="Times New Roman"/>
          <w:sz w:val="28"/>
          <w:szCs w:val="28"/>
          <w:lang w:eastAsia="ru-RU"/>
        </w:rPr>
        <w:t xml:space="preserve">7,1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%.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Анализ исполнения расходов бюджета сельского поселения Кемское по разделам, подразделам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представлен в приложении 2 к Заключению.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D1B31" w:rsidRPr="00FD1B31" w:rsidRDefault="00FD1B31" w:rsidP="00FD1B3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592217" w:rsidRPr="00D047F8" w:rsidRDefault="00592217" w:rsidP="005922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году запланировано исполнение 1 муниципальной программы «Благоустройство территории сельского поселения Кемское на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- 2025 годы».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>
        <w:rPr>
          <w:rFonts w:ascii="Times New Roman" w:eastAsia="Calibri" w:hAnsi="Times New Roman"/>
          <w:sz w:val="28"/>
          <w:szCs w:val="28"/>
          <w:lang w:eastAsia="ru-RU"/>
        </w:rPr>
        <w:t>19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>.12.</w:t>
      </w:r>
      <w:r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338,9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8,6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60,0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17,7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398,9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9,2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FD1B31" w:rsidRPr="00FD1B31" w:rsidRDefault="00A93F1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исполнение бюджета по муниципальным программам составляет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62,2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 xml:space="preserve">15,6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Доля программного финансирования </w:t>
      </w:r>
      <w:r w:rsidR="00FD1B31"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квартале составила </w:t>
      </w:r>
      <w:r w:rsidR="00592217">
        <w:rPr>
          <w:rFonts w:ascii="Times New Roman" w:eastAsia="Calibri" w:hAnsi="Times New Roman"/>
          <w:bCs/>
          <w:sz w:val="28"/>
          <w:szCs w:val="28"/>
          <w:lang w:eastAsia="ru-RU"/>
        </w:rPr>
        <w:t>6,6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FD1B31" w:rsidRPr="00FD1B31" w:rsidRDefault="00A93F1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муниципальной программы в 1 квартале осуществлялась по  </w:t>
      </w:r>
      <w:r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азделу «Жилищно – коммунальное хозяйство».</w:t>
      </w:r>
      <w:r w:rsidR="00FD1B31" w:rsidRPr="00FD1B3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</w:t>
      </w:r>
    </w:p>
    <w:p w:rsidR="00A93F1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592217" w:rsidRPr="00FD1B31" w:rsidRDefault="00FD1B31" w:rsidP="00592217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5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592217" w:rsidRDefault="00FD1B31" w:rsidP="005922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Решением Совета сельского поселения Кемское от 1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г. №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14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«О бюджете сельского поселения Кемское на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годов» бюджет на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по расходам дефицит бюджета утвержден в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364,1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Утвержденный объем дефицита соответствует нормам статьи 92.1 Бюджетного кодекса Российской Федерации.</w:t>
      </w:r>
      <w:r w:rsidR="00592217" w:rsidRPr="005922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217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</w:t>
      </w:r>
      <w:r w:rsidR="00592217">
        <w:rPr>
          <w:rFonts w:ascii="Times New Roman" w:hAnsi="Times New Roman"/>
          <w:sz w:val="28"/>
          <w:szCs w:val="28"/>
          <w:lang w:eastAsia="ru-RU"/>
        </w:rPr>
        <w:t>2023</w:t>
      </w:r>
      <w:r w:rsidR="00592217" w:rsidRPr="00D2070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FD1B31" w:rsidRPr="00FD1B31" w:rsidRDefault="00FD1B31" w:rsidP="00592217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итогам исполнения бюджета за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сложился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дефицит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бюджета в 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53,9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Выводы и предложения.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Отчет об исполнении бюджета сельского поселения Кемское представлен в Совет сельского поселения Кемское в соответствии с Положением «О бюджетном процессе в сельском поселении Кемское», утвержденным решением Совета сельского поселения Кемское от 25.04.2016 г.  № 107 (с изменениями). Данные отчета достоверно и полно отражают исполнение основных характеристик бюджета поселения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выполнен по доходам на сумму </w:t>
      </w:r>
      <w:r w:rsidR="00592217" w:rsidRPr="00592217">
        <w:rPr>
          <w:rFonts w:ascii="Times New Roman" w:eastAsia="Calibri" w:hAnsi="Times New Roman"/>
          <w:b/>
          <w:sz w:val="28"/>
          <w:szCs w:val="28"/>
          <w:lang w:eastAsia="ru-RU"/>
        </w:rPr>
        <w:t>889,0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22,5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расходы исполнены на сумму </w:t>
      </w:r>
      <w:r w:rsidR="00592217" w:rsidRPr="00592217">
        <w:rPr>
          <w:rFonts w:ascii="Times New Roman" w:eastAsia="Calibri" w:hAnsi="Times New Roman"/>
          <w:b/>
          <w:sz w:val="28"/>
          <w:szCs w:val="28"/>
          <w:lang w:eastAsia="ru-RU"/>
        </w:rPr>
        <w:t>942,9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2</w:t>
      </w:r>
      <w:r w:rsidR="00592217">
        <w:rPr>
          <w:rFonts w:ascii="Times New Roman" w:eastAsia="Calibri" w:hAnsi="Times New Roman"/>
          <w:sz w:val="28"/>
          <w:szCs w:val="28"/>
          <w:lang w:eastAsia="ru-RU"/>
        </w:rPr>
        <w:t>1,9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плана, установленного на текущий год.</w:t>
      </w:r>
    </w:p>
    <w:p w:rsidR="00FD1B31" w:rsidRPr="00592217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поселения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исполнен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 </w:t>
      </w:r>
      <w:r w:rsidR="0059221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дефицитом </w:t>
      </w:r>
      <w:r w:rsidRPr="00592217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A93F11" w:rsidRPr="00592217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592217">
        <w:rPr>
          <w:rFonts w:ascii="Times New Roman" w:eastAsia="Calibri" w:hAnsi="Times New Roman"/>
          <w:b/>
          <w:sz w:val="28"/>
          <w:szCs w:val="28"/>
          <w:lang w:eastAsia="ru-RU"/>
        </w:rPr>
        <w:t>53,9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5922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592217" w:rsidRDefault="00FD1B31" w:rsidP="005922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По сравнению с аналогичным периодом прошлого года общий размер поступлений за 1 квартал текущего года </w:t>
      </w:r>
      <w:r w:rsidR="00592217" w:rsidRPr="00592217">
        <w:rPr>
          <w:rFonts w:ascii="Times New Roman" w:eastAsia="Calibri" w:hAnsi="Times New Roman"/>
          <w:sz w:val="28"/>
          <w:szCs w:val="28"/>
          <w:lang w:eastAsia="ru-RU"/>
        </w:rPr>
        <w:t xml:space="preserve">уменьшился по сравнению с аналогичным периодом прошлого года на 28,8 тыс. рублей, или на 3,1 % </w:t>
      </w:r>
      <w:r w:rsidR="00592217" w:rsidRPr="00592217">
        <w:rPr>
          <w:rFonts w:ascii="Times New Roman" w:hAnsi="Times New Roman"/>
          <w:sz w:val="28"/>
          <w:szCs w:val="28"/>
        </w:rPr>
        <w:t>за счет снижения поступления налоговых доходов</w:t>
      </w:r>
      <w:r w:rsidR="00592217">
        <w:rPr>
          <w:rFonts w:ascii="Times New Roman" w:hAnsi="Times New Roman"/>
          <w:sz w:val="28"/>
          <w:szCs w:val="28"/>
        </w:rPr>
        <w:t>.</w:t>
      </w:r>
      <w:r w:rsidR="00592217">
        <w:rPr>
          <w:rFonts w:ascii="Times New Roman" w:hAnsi="Times New Roman"/>
          <w:sz w:val="28"/>
          <w:szCs w:val="28"/>
        </w:rPr>
        <w:t xml:space="preserve"> О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бъем расходов бюджета поселения </w:t>
      </w:r>
      <w:r w:rsidR="00592217" w:rsidRPr="00592217">
        <w:rPr>
          <w:rFonts w:ascii="Times New Roman" w:eastAsia="Calibri" w:hAnsi="Times New Roman"/>
          <w:sz w:val="28"/>
          <w:szCs w:val="28"/>
          <w:lang w:eastAsia="ru-RU"/>
        </w:rPr>
        <w:t xml:space="preserve">увеличился на 62,9 тыс. рублей, или на 7,1 %.  </w:t>
      </w:r>
    </w:p>
    <w:p w:rsidR="00FD1B31" w:rsidRPr="00FD1B31" w:rsidRDefault="00FD1B31" w:rsidP="005922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Ревизионная комиссия Вытегорского муниципального района предлагает представленный отчет об исполнении бюджета сельского поселения Кемское за 1 квартал </w:t>
      </w:r>
      <w:r w:rsidR="00F2779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F675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64" w:rsidRDefault="001E0864" w:rsidP="009C2D9D">
      <w:pPr>
        <w:spacing w:after="0" w:line="240" w:lineRule="auto"/>
      </w:pPr>
      <w:r>
        <w:separator/>
      </w:r>
    </w:p>
  </w:endnote>
  <w:endnote w:type="continuationSeparator" w:id="0">
    <w:p w:rsidR="001E0864" w:rsidRDefault="001E0864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64" w:rsidRDefault="001E0864" w:rsidP="009C2D9D">
      <w:pPr>
        <w:spacing w:after="0" w:line="240" w:lineRule="auto"/>
      </w:pPr>
      <w:r>
        <w:separator/>
      </w:r>
    </w:p>
  </w:footnote>
  <w:footnote w:type="continuationSeparator" w:id="0">
    <w:p w:rsidR="001E0864" w:rsidRDefault="001E0864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57B61"/>
    <w:rsid w:val="00075FBF"/>
    <w:rsid w:val="00076382"/>
    <w:rsid w:val="000965A2"/>
    <w:rsid w:val="000A0426"/>
    <w:rsid w:val="000A0E8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0864"/>
    <w:rsid w:val="001E6DAC"/>
    <w:rsid w:val="001F2BE3"/>
    <w:rsid w:val="001F3424"/>
    <w:rsid w:val="00205020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30AFA"/>
    <w:rsid w:val="00332528"/>
    <w:rsid w:val="00346B4F"/>
    <w:rsid w:val="003554FA"/>
    <w:rsid w:val="00360790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5721D"/>
    <w:rsid w:val="00462ED9"/>
    <w:rsid w:val="004630ED"/>
    <w:rsid w:val="00463367"/>
    <w:rsid w:val="00464B46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2217"/>
    <w:rsid w:val="0059687D"/>
    <w:rsid w:val="005A0419"/>
    <w:rsid w:val="005A6AD9"/>
    <w:rsid w:val="005B3649"/>
    <w:rsid w:val="005C35CF"/>
    <w:rsid w:val="005C7080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67EDC"/>
    <w:rsid w:val="00671702"/>
    <w:rsid w:val="00674E39"/>
    <w:rsid w:val="00681A5D"/>
    <w:rsid w:val="006833BB"/>
    <w:rsid w:val="00686577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432A0"/>
    <w:rsid w:val="008547B4"/>
    <w:rsid w:val="00861CA2"/>
    <w:rsid w:val="008712EE"/>
    <w:rsid w:val="0089467C"/>
    <w:rsid w:val="008A358B"/>
    <w:rsid w:val="008B2AE5"/>
    <w:rsid w:val="008B305D"/>
    <w:rsid w:val="008C7440"/>
    <w:rsid w:val="008D0764"/>
    <w:rsid w:val="008D25C8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67C9"/>
    <w:rsid w:val="00957984"/>
    <w:rsid w:val="00962853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3F11"/>
    <w:rsid w:val="00A954F2"/>
    <w:rsid w:val="00AA0374"/>
    <w:rsid w:val="00AB2619"/>
    <w:rsid w:val="00AD3A0E"/>
    <w:rsid w:val="00AD5F7F"/>
    <w:rsid w:val="00AD6BC1"/>
    <w:rsid w:val="00AF3CB8"/>
    <w:rsid w:val="00AF5A32"/>
    <w:rsid w:val="00AF7475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4983"/>
    <w:rsid w:val="00C27FF3"/>
    <w:rsid w:val="00C32558"/>
    <w:rsid w:val="00C34C27"/>
    <w:rsid w:val="00C42468"/>
    <w:rsid w:val="00C46869"/>
    <w:rsid w:val="00C61098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B6606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C6582"/>
    <w:rsid w:val="00DD4D8A"/>
    <w:rsid w:val="00E06C0F"/>
    <w:rsid w:val="00E1603C"/>
    <w:rsid w:val="00E250C4"/>
    <w:rsid w:val="00E27894"/>
    <w:rsid w:val="00E3134D"/>
    <w:rsid w:val="00E37C7C"/>
    <w:rsid w:val="00E511CA"/>
    <w:rsid w:val="00E54EBA"/>
    <w:rsid w:val="00E645CF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2E"/>
    <w:rsid w:val="00F010A9"/>
    <w:rsid w:val="00F07FC7"/>
    <w:rsid w:val="00F26EFD"/>
    <w:rsid w:val="00F276BB"/>
    <w:rsid w:val="00F27790"/>
    <w:rsid w:val="00F31011"/>
    <w:rsid w:val="00F4123E"/>
    <w:rsid w:val="00F567FF"/>
    <w:rsid w:val="00F56E3B"/>
    <w:rsid w:val="00F609F5"/>
    <w:rsid w:val="00F60B8F"/>
    <w:rsid w:val="00F613CF"/>
    <w:rsid w:val="00F67542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D1B31"/>
    <w:rsid w:val="00FE1831"/>
    <w:rsid w:val="00FE5668"/>
    <w:rsid w:val="00FE70C7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B7E-2985-436E-96A1-603024D0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60</cp:revision>
  <cp:lastPrinted>2023-06-07T14:19:00Z</cp:lastPrinted>
  <dcterms:created xsi:type="dcterms:W3CDTF">2015-05-25T05:36:00Z</dcterms:created>
  <dcterms:modified xsi:type="dcterms:W3CDTF">2023-06-07T14:21:00Z</dcterms:modified>
</cp:coreProperties>
</file>