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2"/>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РЕВИЗИОННАЯ КОМИССИЯ ВЫТЕГОРСКОГО МУНИЦИПАЛЬНОГО РАЙОНА</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162900, Вологодская область, г. Вытегра, пр. Ленина, д.68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 (81746)  2-22-03,  факс (81746) ______,       e-mail: </w:t>
      </w:r>
      <w:r>
        <w:rPr>
          <w:rFonts w:ascii="Times New Roman" w:hAnsi="Times New Roman" w:cs="Times New Roman" w:eastAsia="Times New Roman"/>
          <w:color w:val="auto"/>
          <w:spacing w:val="0"/>
          <w:position w:val="0"/>
          <w:sz w:val="24"/>
          <w:u w:val="single"/>
          <w:shd w:fill="auto" w:val="clear"/>
        </w:rPr>
        <w:t xml:space="preserve">revkom@vytegra-adm.ru</w:t>
      </w:r>
    </w:p>
    <w:p>
      <w:pPr>
        <w:spacing w:before="40" w:after="160" w:line="228"/>
        <w:ind w:right="0" w:left="0" w:firstLine="0"/>
        <w:jc w:val="center"/>
        <w:rPr>
          <w:rFonts w:ascii="Times New Roman" w:hAnsi="Times New Roman" w:cs="Times New Roman" w:eastAsia="Times New Roman"/>
          <w:b/>
          <w:color w:val="auto"/>
          <w:spacing w:val="50"/>
          <w:position w:val="0"/>
          <w:sz w:val="22"/>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проект решения Совета сельского поселения Оштинское Вытегорского муниципального района Вологодской области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567" w:leader="none"/>
        </w:tabs>
        <w:spacing w:before="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22.12.2023                                                    г. Вытегра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Заключение Ревизионной комиссии Вытегорского муниципального района на проект решения Совета сельского поселения Оштинское Вытегорского муниципального района Вологодской области (далее – Совета сельского поселения Оштинское) «О внесении изменений в решение Совета сельского поселения Оштинское от 16.12.2022 года № 10»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Оштинское и Представительным Собранием Вытегорского муниципального района на 2023 год.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вносятся изменения в решение Совета сельского поселения Оштинское от 16 декабря 2022 года № 10 «О бюджете сельского поселения Оштинское Вытегорского муниципального района Вологодской области на 2023 год и плановый период 2024 и 2025 годов». Предлагается внести изменения в доходную и расходную части бюджета поселения на 2023 год. Изменения в показатели бюджета поселения на 2023 год приведены в таблице:</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(тыс. рублей)            </w:t>
      </w:r>
    </w:p>
    <w:tbl>
      <w:tblPr/>
      <w:tblGrid>
        <w:gridCol w:w="3518"/>
        <w:gridCol w:w="2011"/>
        <w:gridCol w:w="1984"/>
        <w:gridCol w:w="1134"/>
        <w:gridCol w:w="1029"/>
      </w:tblGrid>
      <w:tr>
        <w:trPr>
          <w:trHeight w:val="54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Утверждено решением о бюджете от 16.12.22 № 10</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Предлагаемые проектом решения изменения</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Изменение</w:t>
            </w: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изменения</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Доходы, всего (тыс. рублей)</w:t>
            </w:r>
          </w:p>
        </w:tc>
        <w:tc>
          <w:tcPr>
            <w:tcW w:w="2011"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18802,8</w:t>
            </w:r>
          </w:p>
        </w:tc>
        <w:tc>
          <w:tcPr>
            <w:tcW w:w="198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19501,8</w:t>
            </w:r>
          </w:p>
        </w:tc>
        <w:tc>
          <w:tcPr>
            <w:tcW w:w="113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+699,0</w:t>
            </w:r>
          </w:p>
        </w:tc>
        <w:tc>
          <w:tcPr>
            <w:tcW w:w="1029"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+3,7%</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Налоговые и неналоговые доходы</w:t>
            </w:r>
          </w:p>
        </w:tc>
        <w:tc>
          <w:tcPr>
            <w:tcW w:w="2011"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1312,0</w:t>
            </w:r>
          </w:p>
        </w:tc>
        <w:tc>
          <w:tcPr>
            <w:tcW w:w="198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1312,0</w:t>
            </w:r>
          </w:p>
        </w:tc>
        <w:tc>
          <w:tcPr>
            <w:tcW w:w="113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0,0</w:t>
            </w:r>
          </w:p>
        </w:tc>
        <w:tc>
          <w:tcPr>
            <w:tcW w:w="1029"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0,0%</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Безвозмездные поступления </w:t>
            </w:r>
          </w:p>
        </w:tc>
        <w:tc>
          <w:tcPr>
            <w:tcW w:w="2011"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17490,8</w:t>
            </w:r>
          </w:p>
        </w:tc>
        <w:tc>
          <w:tcPr>
            <w:tcW w:w="198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18189,8</w:t>
            </w:r>
          </w:p>
        </w:tc>
        <w:tc>
          <w:tcPr>
            <w:tcW w:w="1134"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+699,0</w:t>
            </w:r>
          </w:p>
        </w:tc>
        <w:tc>
          <w:tcPr>
            <w:tcW w:w="1029" w:type="dxa"/>
            <w:tcBorders>
              <w:top w:val="single" w:color="836967" w:sz="0"/>
              <w:left w:val="single" w:color="836967" w:sz="0"/>
              <w:bottom w:val="single" w:color="836967" w:sz="10"/>
              <w:right w:val="single" w:color="836967" w:sz="1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+4,0%</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Расходы, всего (тыс. рублей)</w:t>
            </w: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20073,7</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20772,7</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+699,0</w:t>
            </w: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+3,5%</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Дефицит (-), профицит (+) бюджета</w:t>
            </w: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-1270,9</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- 1270,9</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r>
    </w:tbl>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Общий плановый объем доходов бюджета в 2023 году увеличится на 699,0 тыс. рублей (+3,7%) и составит 19501,8 тыс. рублей. План поступлений налоговых и неналоговых доходов останется без изменений и составит 1312,0 тыс. рублей. Объем безвозмездных поступлений увеличится на 699,0 тыс. рублей (+4,0 %) за счет дополнительного поступления дотаций на поддержку мер по обеспечению сбалансированности бюджетов. Общий объем безвозмездных поступлений составит 18189,8 тыс. рублей. Доля безвозмездных поступлений в общем объеме доходов поселения – 93,3, %, доля налоговых и неналоговых доходов – 6,7 %.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Расходная часть бюджета увеличится на 699,0 тыс. рублей и составит 20772,7 тыс. рублей. Увеличение расходной части бюджета предлагается произвести за счет дополнительно поступающих безвозмездных поступлений.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Изменения, внесенные в расходную часть бюджета на 2023 год, в разрезе разделов, подразделов приведены в Приложении 1 к Заключению.</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объем расходов по разделу 01 </w:t>
      </w:r>
      <w:r>
        <w:rPr>
          <w:rFonts w:ascii="Times New Roman" w:hAnsi="Times New Roman" w:cs="Times New Roman" w:eastAsia="Times New Roman"/>
          <w:b/>
          <w:color w:val="auto"/>
          <w:spacing w:val="0"/>
          <w:position w:val="0"/>
          <w:sz w:val="28"/>
          <w:shd w:fill="auto" w:val="clear"/>
        </w:rPr>
        <w:t xml:space="preserve">«Общегосударственные вопросы»</w:t>
      </w:r>
      <w:r>
        <w:rPr>
          <w:rFonts w:ascii="Times New Roman" w:hAnsi="Times New Roman" w:cs="Times New Roman" w:eastAsia="Times New Roman"/>
          <w:color w:val="auto"/>
          <w:spacing w:val="0"/>
          <w:position w:val="0"/>
          <w:sz w:val="28"/>
          <w:shd w:fill="auto" w:val="clear"/>
        </w:rPr>
        <w:t xml:space="preserve"> увеличивается на 56,3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w:t>
      </w:r>
      <w:r>
        <w:rPr>
          <w:rFonts w:ascii="Times New Roman" w:hAnsi="Times New Roman" w:cs="Times New Roman" w:eastAsia="Times New Roman"/>
          <w:i/>
          <w:color w:val="auto"/>
          <w:spacing w:val="0"/>
          <w:position w:val="0"/>
          <w:sz w:val="28"/>
          <w:shd w:fill="auto" w:val="clear"/>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 </w:t>
      </w:r>
      <w:r>
        <w:rPr>
          <w:rFonts w:ascii="Times New Roman" w:hAnsi="Times New Roman" w:cs="Times New Roman" w:eastAsia="Times New Roman"/>
          <w:color w:val="auto"/>
          <w:spacing w:val="0"/>
          <w:position w:val="0"/>
          <w:sz w:val="28"/>
          <w:shd w:fill="auto" w:val="clear"/>
        </w:rPr>
        <w:t xml:space="preserve">расходы планируется увеличить на 74,7 тыс. рублей: расходы на выплаты муниципальным служащим увеличатся на 50,3 тыс. рублей, расходы на закупки товаров, работ, услуг увеличатся на 2,2 тыс. рублей, на уплату налогов, сборов уменьшатся на 22,8 тыс. рублей, расходы на выплаты работникам, не являющимся муниципальными служащими, увеличатся на 45,0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Объем расходов, запланированный в проекте бюджета на оплату труда выборных должностных лиц местного самоуправления, осуществляющих свои полномочия на постоянной основе, муниципальных служащих, на 2023 год составит 2716,9 тыс. рублей, что соответствует нормативу 3184,8 тыс. рублей,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 с учетом коэффициента 1,20, применяемого к нормативу для органов местного самоуправления городских и сельских поселений, реализовавших инициативу о преобразовании поселений области путем их объединения, с численностью населения до 3,5 тыс. человек.</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 </w:t>
      </w:r>
      <w:r>
        <w:rPr>
          <w:rFonts w:ascii="Times New Roman" w:hAnsi="Times New Roman" w:cs="Times New Roman" w:eastAsia="Times New Roman"/>
          <w:i/>
          <w:color w:val="auto"/>
          <w:spacing w:val="0"/>
          <w:position w:val="0"/>
          <w:sz w:val="28"/>
          <w:shd w:fill="auto" w:val="clear"/>
        </w:rPr>
        <w:t xml:space="preserve">0113 «Другие общегосударственные вопросы» </w:t>
      </w:r>
      <w:r>
        <w:rPr>
          <w:rFonts w:ascii="Times New Roman" w:hAnsi="Times New Roman" w:cs="Times New Roman" w:eastAsia="Times New Roman"/>
          <w:color w:val="auto"/>
          <w:spacing w:val="0"/>
          <w:position w:val="0"/>
          <w:sz w:val="28"/>
          <w:shd w:fill="auto" w:val="clear"/>
        </w:rPr>
        <w:t xml:space="preserve">расходы уменьшатся на 18,4 тыс. рублей за счет уменьшения расходов на выполнение других обязательств государства (расходы на закупки кадастровых услуг).</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предлагается произвести перераспределение бюджетных ассигнований между видами расходов внутри подраздела </w:t>
      </w:r>
      <w:r>
        <w:rPr>
          <w:rFonts w:ascii="Times New Roman" w:hAnsi="Times New Roman" w:cs="Times New Roman" w:eastAsia="Times New Roman"/>
          <w:i/>
          <w:color w:val="auto"/>
          <w:spacing w:val="0"/>
          <w:position w:val="0"/>
          <w:sz w:val="28"/>
          <w:shd w:fill="auto" w:val="clear"/>
        </w:rPr>
        <w:t xml:space="preserve">0203 «Мобилизационная и вневойсковая подготовка»: </w:t>
      </w:r>
      <w:r>
        <w:rPr>
          <w:rFonts w:ascii="Times New Roman" w:hAnsi="Times New Roman" w:cs="Times New Roman" w:eastAsia="Times New Roman"/>
          <w:color w:val="auto"/>
          <w:spacing w:val="0"/>
          <w:position w:val="0"/>
          <w:sz w:val="28"/>
          <w:shd w:fill="auto" w:val="clear"/>
        </w:rPr>
        <w:t xml:space="preserve">расходы на выплаты персоналу увеличатся на 2,3 тыс. рублей, соответственно расходы на закупки уменьшатся на 2,3 тыс. рублей. В целом объем расходов по подразделу 0203 и разделу 02 </w:t>
      </w:r>
      <w:r>
        <w:rPr>
          <w:rFonts w:ascii="Times New Roman" w:hAnsi="Times New Roman" w:cs="Times New Roman" w:eastAsia="Times New Roman"/>
          <w:b/>
          <w:color w:val="auto"/>
          <w:spacing w:val="0"/>
          <w:position w:val="0"/>
          <w:sz w:val="28"/>
          <w:shd w:fill="auto" w:val="clear"/>
        </w:rPr>
        <w:t xml:space="preserve">«Национальная оборона»</w:t>
      </w:r>
      <w:r>
        <w:rPr>
          <w:rFonts w:ascii="Times New Roman" w:hAnsi="Times New Roman" w:cs="Times New Roman" w:eastAsia="Times New Roman"/>
          <w:color w:val="auto"/>
          <w:spacing w:val="0"/>
          <w:position w:val="0"/>
          <w:sz w:val="28"/>
          <w:shd w:fill="auto" w:val="clear"/>
        </w:rPr>
        <w:t xml:space="preserve"> не изменятся.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разделу </w:t>
      </w:r>
      <w:r>
        <w:rPr>
          <w:rFonts w:ascii="Times New Roman" w:hAnsi="Times New Roman" w:cs="Times New Roman" w:eastAsia="Times New Roman"/>
          <w:b/>
          <w:color w:val="auto"/>
          <w:spacing w:val="0"/>
          <w:position w:val="0"/>
          <w:sz w:val="28"/>
          <w:shd w:fill="auto" w:val="clear"/>
        </w:rPr>
        <w:t xml:space="preserve">05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«Жилищно-коммунальное хозяйство» </w:t>
      </w:r>
      <w:r>
        <w:rPr>
          <w:rFonts w:ascii="Times New Roman" w:hAnsi="Times New Roman" w:cs="Times New Roman" w:eastAsia="Times New Roman"/>
          <w:color w:val="auto"/>
          <w:spacing w:val="0"/>
          <w:position w:val="0"/>
          <w:sz w:val="28"/>
          <w:shd w:fill="auto" w:val="clear"/>
        </w:rPr>
        <w:t xml:space="preserve">объем бюджетных ассигнований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предлагается увеличить на 642,7 тыс. рублей, или на 14,1 %.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 </w:t>
      </w:r>
      <w:r>
        <w:rPr>
          <w:rFonts w:ascii="Times New Roman" w:hAnsi="Times New Roman" w:cs="Times New Roman" w:eastAsia="Times New Roman"/>
          <w:i/>
          <w:color w:val="auto"/>
          <w:spacing w:val="0"/>
          <w:position w:val="0"/>
          <w:sz w:val="28"/>
          <w:shd w:fill="auto" w:val="clear"/>
        </w:rPr>
        <w:t xml:space="preserve">0502 «Коммунальное хозяйство» </w:t>
      </w:r>
      <w:r>
        <w:rPr>
          <w:rFonts w:ascii="Times New Roman" w:hAnsi="Times New Roman" w:cs="Times New Roman" w:eastAsia="Times New Roman"/>
          <w:color w:val="auto"/>
          <w:spacing w:val="0"/>
          <w:position w:val="0"/>
          <w:sz w:val="28"/>
          <w:shd w:fill="auto" w:val="clear"/>
        </w:rPr>
        <w:t xml:space="preserve">бюджетные ассигнования увеличатся на 499,0 тыс. рублей, или на 77,5 %. Проектом решения увеличено финансирование прочих мероприятий в области коммунального хозяйства.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 </w:t>
      </w:r>
      <w:r>
        <w:rPr>
          <w:rFonts w:ascii="Times New Roman" w:hAnsi="Times New Roman" w:cs="Times New Roman" w:eastAsia="Times New Roman"/>
          <w:i/>
          <w:color w:val="auto"/>
          <w:spacing w:val="0"/>
          <w:position w:val="0"/>
          <w:sz w:val="28"/>
          <w:shd w:fill="auto" w:val="clear"/>
        </w:rPr>
        <w:t xml:space="preserve">0503 «Благоустройство» </w:t>
      </w:r>
      <w:r>
        <w:rPr>
          <w:rFonts w:ascii="Times New Roman" w:hAnsi="Times New Roman" w:cs="Times New Roman" w:eastAsia="Times New Roman"/>
          <w:color w:val="auto"/>
          <w:spacing w:val="0"/>
          <w:position w:val="0"/>
          <w:sz w:val="28"/>
          <w:shd w:fill="auto" w:val="clear"/>
        </w:rPr>
        <w:t xml:space="preserve">бюджетные ассигнования увеличатся на 143,7 тыс. рублей, или на 3,7 %. Проектом решения увеличены расходы на организацию уличного освещения (за счет собственных средств поселения).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Объем дефицита бюджета поселения не изменится и составит 1270,9 тыс. рублей. Утвержденный объем дефицита соответствует нормам статьи 92.1 Бюджетного кодекса Российской Федерации. Источник финансирования дефицита бюджета - изменение средств на счетах бюджета по состоянию на 01.01.2023 года.</w:t>
      </w:r>
    </w:p>
    <w:p>
      <w:pPr>
        <w:tabs>
          <w:tab w:val="left" w:pos="567" w:leader="none"/>
        </w:tabs>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внесены изменения в финансирование муниципальных программ на 2023 год. Общий объем средств, направляемый на реализацию муниципальных программ, увеличится на 218,4 тыс. рублей и составит в 2023 году 18747,3 тыс. рублей. </w:t>
      </w:r>
    </w:p>
    <w:p>
      <w:pPr>
        <w:tabs>
          <w:tab w:val="left" w:pos="567" w:leader="none"/>
        </w:tabs>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внесены соответствующие изменения в приложения к решению от 16.12.2022 года № 10 «О бюджете сельского поселения Оштинское Вытегорского муниципального района Вологодской области на 2023 год и плановый период 2024 и 2025 годов».</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567"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Выводы и предложения.</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Внесение изменений в решение о бюджете поселения является обоснованным. Представленный проект решения </w:t>
      </w:r>
      <w:r>
        <w:rPr>
          <w:rFonts w:ascii="Times New Roman" w:hAnsi="Times New Roman" w:cs="Times New Roman" w:eastAsia="Times New Roman"/>
          <w:b/>
          <w:color w:val="auto"/>
          <w:spacing w:val="0"/>
          <w:position w:val="0"/>
          <w:sz w:val="28"/>
          <w:shd w:fill="auto" w:val="clear"/>
        </w:rPr>
        <w:t xml:space="preserve">соответствует </w:t>
      </w:r>
      <w:r>
        <w:rPr>
          <w:rFonts w:ascii="Times New Roman" w:hAnsi="Times New Roman" w:cs="Times New Roman" w:eastAsia="Times New Roman"/>
          <w:color w:val="auto"/>
          <w:spacing w:val="0"/>
          <w:position w:val="0"/>
          <w:sz w:val="28"/>
          <w:shd w:fill="auto" w:val="clear"/>
        </w:rPr>
        <w:t xml:space="preserve">требованиям бюджетного законодательства и рекомендуется </w:t>
      </w:r>
      <w:r>
        <w:rPr>
          <w:rFonts w:ascii="Times New Roman" w:hAnsi="Times New Roman" w:cs="Times New Roman" w:eastAsia="Times New Roman"/>
          <w:b/>
          <w:color w:val="auto"/>
          <w:spacing w:val="0"/>
          <w:position w:val="0"/>
          <w:sz w:val="28"/>
          <w:shd w:fill="auto" w:val="clear"/>
        </w:rPr>
        <w:t xml:space="preserve">к рассмотрению.</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Аудитор Ревизионной комиссии                                   О.Е. Нестерова</w:t>
      </w:r>
    </w:p>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