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2"/>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40" w:after="160" w:line="228"/>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РЕВИЗИОННАЯ КОМИССИЯ ВЫТЕГОРСКОГО МУНИЦИПАЛЬНОГО РАЙОНА</w:t>
      </w:r>
    </w:p>
    <w:p>
      <w:pPr>
        <w:spacing w:before="40" w:after="160" w:line="228"/>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162900, Вологодская область, г. Вытегра, пр. Ленина, д.68</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тел. (81746)  2-22-03,  факс (81746) ______,       e-mail: </w:t>
      </w:r>
      <w:r>
        <w:rPr>
          <w:rFonts w:ascii="Times New Roman" w:hAnsi="Times New Roman" w:cs="Times New Roman" w:eastAsia="Times New Roman"/>
          <w:color w:val="auto"/>
          <w:spacing w:val="0"/>
          <w:position w:val="0"/>
          <w:sz w:val="24"/>
          <w:u w:val="single"/>
          <w:shd w:fill="auto" w:val="clear"/>
        </w:rPr>
        <w:t xml:space="preserve">revkom@vytegra-adm.ru</w:t>
      </w:r>
    </w:p>
    <w:p>
      <w:pPr>
        <w:spacing w:before="40" w:after="160" w:line="228"/>
        <w:ind w:right="0" w:left="0" w:firstLine="0"/>
        <w:jc w:val="center"/>
        <w:rPr>
          <w:rFonts w:ascii="Times New Roman" w:hAnsi="Times New Roman" w:cs="Times New Roman" w:eastAsia="Times New Roman"/>
          <w:b/>
          <w:color w:val="auto"/>
          <w:spacing w:val="50"/>
          <w:position w:val="0"/>
          <w:sz w:val="22"/>
          <w:shd w:fill="auto"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ЗАКЛЮЧЕНИЕ</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 проект решения Совета сельского поселения Оштинское Вытегорского муниципального района Вологодской области </w:t>
      </w:r>
    </w:p>
    <w:p>
      <w:pPr>
        <w:spacing w:before="0" w:after="0" w:line="240"/>
        <w:ind w:right="0" w:left="0" w:firstLine="709"/>
        <w:jc w:val="center"/>
        <w:rPr>
          <w:rFonts w:ascii="Times New Roman" w:hAnsi="Times New Roman" w:cs="Times New Roman" w:eastAsia="Times New Roman"/>
          <w:b/>
          <w:color w:val="auto"/>
          <w:spacing w:val="0"/>
          <w:position w:val="0"/>
          <w:sz w:val="28"/>
          <w:shd w:fill="auto" w:val="clear"/>
        </w:rPr>
      </w:pPr>
    </w:p>
    <w:p>
      <w:pPr>
        <w:tabs>
          <w:tab w:val="left" w:pos="567" w:leader="none"/>
        </w:tabs>
        <w:spacing w:before="0" w:after="12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17.11.2023                                                    г. Вытегра</w:t>
      </w:r>
    </w:p>
    <w:p>
      <w:pPr>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Заключение Ревизионной комиссии Вытегорского муниципального района на проект решения Совета сельского поселения Оштинское Вытегорского муниципального района Вологодской области (далее – Совета сельского поселения Оштинское) «О внесении изменений в решение Совета сельского поселения Оштинское от 16.12.2022 года № 10» 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Оштинское и Представительным Собранием Вытегорского муниципального района на 2023 год.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вносятся изменения в решение Совета сельского поселения Оштинское от 16 декабря 2022 года № 10 «О бюджете сельского поселения Оштинское Вытегорского муниципального района Вологодской области на 2023 год и плановый период 2024 и 2025 годов». Предлагается внести изменения в доходную и расходную части бюджета поселения на 2023 год. Изменения в показатели бюджета поселения на 2023 год приведены в таблице:</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(тыс. рублей)            </w:t>
      </w:r>
    </w:p>
    <w:tbl>
      <w:tblPr/>
      <w:tblGrid>
        <w:gridCol w:w="3518"/>
        <w:gridCol w:w="2011"/>
        <w:gridCol w:w="1984"/>
        <w:gridCol w:w="1134"/>
        <w:gridCol w:w="1029"/>
      </w:tblGrid>
      <w:tr>
        <w:trPr>
          <w:trHeight w:val="54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tc>
        <w:tc>
          <w:tcPr>
            <w:tcW w:w="2011"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Утверждено решением о бюджете от 16.12.22 № 10</w:t>
            </w:r>
          </w:p>
        </w:tc>
        <w:tc>
          <w:tcPr>
            <w:tcW w:w="198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Предлагаемые проектом решения изменения</w:t>
            </w:r>
          </w:p>
        </w:tc>
        <w:tc>
          <w:tcPr>
            <w:tcW w:w="113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Изменение</w:t>
            </w:r>
          </w:p>
        </w:tc>
        <w:tc>
          <w:tcPr>
            <w:tcW w:w="1029"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изменения</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Доходы, всего (тыс. рублей)</w:t>
            </w:r>
          </w:p>
        </w:tc>
        <w:tc>
          <w:tcPr>
            <w:tcW w:w="2011"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18747,7</w:t>
            </w:r>
          </w:p>
        </w:tc>
        <w:tc>
          <w:tcPr>
            <w:tcW w:w="1984"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18802,8</w:t>
            </w:r>
          </w:p>
        </w:tc>
        <w:tc>
          <w:tcPr>
            <w:tcW w:w="1134"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+55,1</w:t>
            </w:r>
          </w:p>
        </w:tc>
        <w:tc>
          <w:tcPr>
            <w:tcW w:w="1029" w:type="dxa"/>
            <w:tcBorders>
              <w:top w:val="single" w:color="836967" w:sz="0"/>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+0,3%</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Налоговые и неналоговые доходы</w:t>
            </w:r>
          </w:p>
        </w:tc>
        <w:tc>
          <w:tcPr>
            <w:tcW w:w="2011" w:type="dxa"/>
            <w:tcBorders>
              <w:top w:val="single" w:color="836967" w:sz="0"/>
              <w:left w:val="single" w:color="836967" w:sz="0"/>
              <w:bottom w:val="single" w:color="836967" w:sz="5"/>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1312,0</w:t>
            </w:r>
          </w:p>
        </w:tc>
        <w:tc>
          <w:tcPr>
            <w:tcW w:w="1984" w:type="dxa"/>
            <w:tcBorders>
              <w:top w:val="single" w:color="836967" w:sz="0"/>
              <w:left w:val="single" w:color="836967" w:sz="0"/>
              <w:bottom w:val="single" w:color="836967" w:sz="5"/>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1312,0</w:t>
            </w:r>
          </w:p>
        </w:tc>
        <w:tc>
          <w:tcPr>
            <w:tcW w:w="1134" w:type="dxa"/>
            <w:tcBorders>
              <w:top w:val="single" w:color="836967" w:sz="0"/>
              <w:left w:val="single" w:color="836967" w:sz="0"/>
              <w:bottom w:val="single" w:color="836967" w:sz="5"/>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0,0</w:t>
            </w:r>
          </w:p>
        </w:tc>
        <w:tc>
          <w:tcPr>
            <w:tcW w:w="1029" w:type="dxa"/>
            <w:tcBorders>
              <w:top w:val="single" w:color="836967" w:sz="0"/>
              <w:left w:val="single" w:color="836967" w:sz="0"/>
              <w:bottom w:val="single" w:color="836967" w:sz="5"/>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0,0%</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Безвозмездные поступления </w:t>
            </w:r>
          </w:p>
        </w:tc>
        <w:tc>
          <w:tcPr>
            <w:tcW w:w="2011" w:type="dxa"/>
            <w:tcBorders>
              <w:top w:val="single" w:color="836967" w:sz="5"/>
              <w:left w:val="single" w:color="836967" w:sz="0"/>
              <w:bottom w:val="single" w:color="836967"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17435,7</w:t>
            </w:r>
          </w:p>
        </w:tc>
        <w:tc>
          <w:tcPr>
            <w:tcW w:w="1984" w:type="dxa"/>
            <w:tcBorders>
              <w:top w:val="single" w:color="836967" w:sz="5"/>
              <w:left w:val="single" w:color="836967" w:sz="0"/>
              <w:bottom w:val="single" w:color="836967"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17490,8</w:t>
            </w:r>
          </w:p>
        </w:tc>
        <w:tc>
          <w:tcPr>
            <w:tcW w:w="1134" w:type="dxa"/>
            <w:tcBorders>
              <w:top w:val="single" w:color="836967" w:sz="5"/>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+55,1</w:t>
            </w:r>
          </w:p>
        </w:tc>
        <w:tc>
          <w:tcPr>
            <w:tcW w:w="1029" w:type="dxa"/>
            <w:tcBorders>
              <w:top w:val="single" w:color="836967" w:sz="5"/>
              <w:left w:val="single" w:color="836967" w:sz="0"/>
              <w:bottom w:val="single" w:color="000000" w:sz="10"/>
              <w:right w:val="single" w:color="000000" w:sz="10"/>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+0,3%</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Расходы, всего (тыс. рублей)</w:t>
            </w:r>
          </w:p>
        </w:tc>
        <w:tc>
          <w:tcPr>
            <w:tcW w:w="2011"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20018,7</w:t>
            </w:r>
          </w:p>
        </w:tc>
        <w:tc>
          <w:tcPr>
            <w:tcW w:w="198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20073,7</w:t>
            </w:r>
          </w:p>
        </w:tc>
        <w:tc>
          <w:tcPr>
            <w:tcW w:w="113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+55,0</w:t>
            </w:r>
          </w:p>
        </w:tc>
        <w:tc>
          <w:tcPr>
            <w:tcW w:w="1029"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+0,3%</w:t>
            </w:r>
          </w:p>
        </w:tc>
      </w:tr>
      <w:tr>
        <w:trPr>
          <w:trHeight w:val="300" w:hRule="auto"/>
          <w:jc w:val="left"/>
        </w:trPr>
        <w:tc>
          <w:tcPr>
            <w:tcW w:w="3518"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Дефицит (-), профицит (+) бюджета</w:t>
            </w:r>
          </w:p>
        </w:tc>
        <w:tc>
          <w:tcPr>
            <w:tcW w:w="2011"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-1271,0</w:t>
            </w:r>
          </w:p>
        </w:tc>
        <w:tc>
          <w:tcPr>
            <w:tcW w:w="198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- 1270,9</w:t>
            </w:r>
          </w:p>
        </w:tc>
        <w:tc>
          <w:tcPr>
            <w:tcW w:w="1134"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- 0,1</w:t>
            </w:r>
          </w:p>
        </w:tc>
        <w:tc>
          <w:tcPr>
            <w:tcW w:w="1029" w:type="dxa"/>
            <w:tcBorders>
              <w:top w:val="single" w:color="000000" w:sz="5"/>
              <w:left w:val="single" w:color="000000" w:sz="5"/>
              <w:bottom w:val="single" w:color="000000" w:sz="5"/>
              <w:right w:val="single" w:color="000000" w:sz="5"/>
            </w:tcBorders>
            <w:shd w:color="auto" w:fill="auto"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18"/>
                <w:shd w:fill="auto" w:val="clear"/>
              </w:rPr>
            </w:pPr>
          </w:p>
        </w:tc>
      </w:tr>
    </w:tbl>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Общий плановый объем доходов бюджета в 2023 году увеличится на 55,0 тыс. рублей (+0,3%) и составит 18802,8 тыс. рублей (на 0,1 тыс. рублей произведены поправки технического характера общего объема субсидий в виду округления числовых значений). План поступлений налоговых и неналоговых доходов останется без изменений и составит 1312,0 тыс. рублей. Объем безвозмездных поступлений увеличится на 55,0 тыс. рублей (+0,3%), в том числе за счет дополнительного поступления дотаций на сбалансированность в сумме 5,0 тыс. рублей, прочих безвозмездных поступлений от негосударственных организаций в сумме 50,0 тыс. рублей. Общий объем безвозмездных поступлений составит 17490,8 тыс. рублей. Доля безвозмездных поступлений в общем объеме доходов поселения – 93,0 %, доля налоговых и неналоговых доходов – 7,0 %.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Расходная часть бюджета увеличится на 55,0 тыс. рублей и составит 20073,7 тыс. рублей. Увеличение расходной части бюджета предлагается произвести за счет дополнительно поступающих безвозмездных поступлений,  перераспределения бюджетных ассигнований между подразделами, разделами расходной части бюджета.</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Изменения, внесенные в расходную часть бюджета на 2023 год, в разрезе разделов, подразделов приведены в Приложении 1 к Заключению.</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объем расходов по разделу 01 </w:t>
      </w:r>
      <w:r>
        <w:rPr>
          <w:rFonts w:ascii="Times New Roman" w:hAnsi="Times New Roman" w:cs="Times New Roman" w:eastAsia="Times New Roman"/>
          <w:b/>
          <w:color w:val="auto"/>
          <w:spacing w:val="0"/>
          <w:position w:val="0"/>
          <w:sz w:val="28"/>
          <w:shd w:fill="auto" w:val="clear"/>
        </w:rPr>
        <w:t xml:space="preserve">«Общегосударственные вопросы»</w:t>
      </w:r>
      <w:r>
        <w:rPr>
          <w:rFonts w:ascii="Times New Roman" w:hAnsi="Times New Roman" w:cs="Times New Roman" w:eastAsia="Times New Roman"/>
          <w:color w:val="auto"/>
          <w:spacing w:val="0"/>
          <w:position w:val="0"/>
          <w:sz w:val="28"/>
          <w:shd w:fill="auto" w:val="clear"/>
        </w:rPr>
        <w:t xml:space="preserve"> уменьшается на 177,9 тыс. рублей за счет внесения изменений в объемы расходов подразделов, составляющих данный раздел.</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подразделу </w:t>
      </w:r>
      <w:r>
        <w:rPr>
          <w:rFonts w:ascii="Times New Roman" w:hAnsi="Times New Roman" w:cs="Times New Roman" w:eastAsia="Times New Roman"/>
          <w:i/>
          <w:color w:val="auto"/>
          <w:spacing w:val="0"/>
          <w:position w:val="0"/>
          <w:sz w:val="28"/>
          <w:shd w:fill="auto" w:val="clear"/>
        </w:rPr>
        <w:t xml:space="preserve">0102</w:t>
      </w: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8"/>
          <w:shd w:fill="auto" w:val="clear"/>
        </w:rPr>
        <w:t xml:space="preserve">Функционирование высшего должностного лица субъекта Российской Федерации и муниципального образования» </w:t>
      </w:r>
      <w:r>
        <w:rPr>
          <w:rFonts w:ascii="Times New Roman" w:hAnsi="Times New Roman" w:cs="Times New Roman" w:eastAsia="Times New Roman"/>
          <w:color w:val="auto"/>
          <w:spacing w:val="0"/>
          <w:position w:val="0"/>
          <w:sz w:val="28"/>
          <w:shd w:fill="auto" w:val="clear"/>
        </w:rPr>
        <w:t xml:space="preserve">расходы предлагается увеличить на 149,3 тыс. рублей (расходы на выплаты Главе).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подразделу</w:t>
      </w:r>
      <w:r>
        <w:rPr>
          <w:rFonts w:ascii="Times New Roman" w:hAnsi="Times New Roman" w:cs="Times New Roman" w:eastAsia="Times New Roman"/>
          <w:i/>
          <w:color w:val="auto"/>
          <w:spacing w:val="0"/>
          <w:position w:val="0"/>
          <w:sz w:val="28"/>
          <w:shd w:fill="auto" w:val="clear"/>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 </w:t>
      </w:r>
      <w:r>
        <w:rPr>
          <w:rFonts w:ascii="Times New Roman" w:hAnsi="Times New Roman" w:cs="Times New Roman" w:eastAsia="Times New Roman"/>
          <w:color w:val="auto"/>
          <w:spacing w:val="0"/>
          <w:position w:val="0"/>
          <w:sz w:val="28"/>
          <w:shd w:fill="auto" w:val="clear"/>
        </w:rPr>
        <w:t xml:space="preserve">расходы планируется уменьшить на 183,1 тыс. рублей: расходы на выплаты муниципальным служащим уменьшатся на 332,2 тыс. рублей, расходы на закупки товаров, работ, услуг увеличатся на 279,1 тыс. рублей, расходы на выплаты работникам, не являющимся муниципальными служащими, уменьшатся на 130,0 тыс. рублей.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Объем расходов, запланированный в проекте бюджета на оплату труда выборных должностных лиц местного самоуправления, осуществляющих свои полномочия на постоянной основе, муниципальных служащих, на 2023 год составит 2666,6 тыс. рублей, что соответствует нормативу 3184,8 тыс. рублей, установленному постановлением Правительства Вологодской области от 28 июля 2008 года № 1416 «Об утверждении норматива формирования расходов на оплату труда в органах местного самоуправления муниципальных образований области» (с изменениями) с учетом коэффициента 1,20, применяемого к нормативу для органов местного самоуправления городских и сельских поселений, реализовавших инициативу о преобразовании поселений области путем их объединения, с численностью населения до 3,5 тыс. человек.</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предлагается исключить расходы (отсутствие потребности в расходах) на создание Резервного фонда Администрации поселения в сумме 10,0 тыс. рублей </w:t>
      </w:r>
      <w:r>
        <w:rPr>
          <w:rFonts w:ascii="Times New Roman" w:hAnsi="Times New Roman" w:cs="Times New Roman" w:eastAsia="Times New Roman"/>
          <w:i/>
          <w:color w:val="auto"/>
          <w:spacing w:val="0"/>
          <w:position w:val="0"/>
          <w:sz w:val="28"/>
          <w:shd w:fill="auto" w:val="clear"/>
        </w:rPr>
        <w:t xml:space="preserve">(подраздел 0111 «Резервные фонды»).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подразделу </w:t>
      </w:r>
      <w:r>
        <w:rPr>
          <w:rFonts w:ascii="Times New Roman" w:hAnsi="Times New Roman" w:cs="Times New Roman" w:eastAsia="Times New Roman"/>
          <w:i/>
          <w:color w:val="auto"/>
          <w:spacing w:val="0"/>
          <w:position w:val="0"/>
          <w:sz w:val="28"/>
          <w:shd w:fill="auto" w:val="clear"/>
        </w:rPr>
        <w:t xml:space="preserve">0113 «Другие общегосударственные вопросы» </w:t>
      </w:r>
      <w:r>
        <w:rPr>
          <w:rFonts w:ascii="Times New Roman" w:hAnsi="Times New Roman" w:cs="Times New Roman" w:eastAsia="Times New Roman"/>
          <w:color w:val="auto"/>
          <w:spacing w:val="0"/>
          <w:position w:val="0"/>
          <w:sz w:val="28"/>
          <w:shd w:fill="auto" w:val="clear"/>
        </w:rPr>
        <w:t xml:space="preserve">расходы уменьшатся на 134,1 тыс. рублей за счет уменьшения расходов на погашение задолженности по кредитному договору за имущество, полученное поселением в наследство от физического лица (судом уменьшена сумма к погашению).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предлагается произвести перераспределение бюджетных ассигнований между видами расходов внутри подраздела </w:t>
      </w:r>
      <w:r>
        <w:rPr>
          <w:rFonts w:ascii="Times New Roman" w:hAnsi="Times New Roman" w:cs="Times New Roman" w:eastAsia="Times New Roman"/>
          <w:i/>
          <w:color w:val="auto"/>
          <w:spacing w:val="0"/>
          <w:position w:val="0"/>
          <w:sz w:val="28"/>
          <w:shd w:fill="auto" w:val="clear"/>
        </w:rPr>
        <w:t xml:space="preserve">0203 «Мобилизационная и вневойсковая подготовка»: </w:t>
      </w:r>
      <w:r>
        <w:rPr>
          <w:rFonts w:ascii="Times New Roman" w:hAnsi="Times New Roman" w:cs="Times New Roman" w:eastAsia="Times New Roman"/>
          <w:color w:val="auto"/>
          <w:spacing w:val="0"/>
          <w:position w:val="0"/>
          <w:sz w:val="28"/>
          <w:shd w:fill="auto" w:val="clear"/>
        </w:rPr>
        <w:t xml:space="preserve">расходы на выплаты персоналу уменьшатся на 23,4 тыс. рублей, соответственно расходы на закупки увеличатся на 23,4 тыс. рублей. В целом объем расходов по подразделу 0203 и разделу 02 </w:t>
      </w:r>
      <w:r>
        <w:rPr>
          <w:rFonts w:ascii="Times New Roman" w:hAnsi="Times New Roman" w:cs="Times New Roman" w:eastAsia="Times New Roman"/>
          <w:b/>
          <w:color w:val="auto"/>
          <w:spacing w:val="0"/>
          <w:position w:val="0"/>
          <w:sz w:val="28"/>
          <w:shd w:fill="auto" w:val="clear"/>
        </w:rPr>
        <w:t xml:space="preserve">«Национальная оборона»</w:t>
      </w:r>
      <w:r>
        <w:rPr>
          <w:rFonts w:ascii="Times New Roman" w:hAnsi="Times New Roman" w:cs="Times New Roman" w:eastAsia="Times New Roman"/>
          <w:color w:val="auto"/>
          <w:spacing w:val="0"/>
          <w:position w:val="0"/>
          <w:sz w:val="28"/>
          <w:shd w:fill="auto" w:val="clear"/>
        </w:rPr>
        <w:t xml:space="preserve"> не изменятся.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 разделу </w:t>
      </w:r>
      <w:r>
        <w:rPr>
          <w:rFonts w:ascii="Times New Roman" w:hAnsi="Times New Roman" w:cs="Times New Roman" w:eastAsia="Times New Roman"/>
          <w:b/>
          <w:color w:val="auto"/>
          <w:spacing w:val="0"/>
          <w:position w:val="0"/>
          <w:sz w:val="28"/>
          <w:shd w:fill="auto" w:val="clear"/>
        </w:rPr>
        <w:t xml:space="preserve">05</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«Жилищно-коммунальное хозяйство» </w:t>
      </w:r>
      <w:r>
        <w:rPr>
          <w:rFonts w:ascii="Times New Roman" w:hAnsi="Times New Roman" w:cs="Times New Roman" w:eastAsia="Times New Roman"/>
          <w:color w:val="auto"/>
          <w:spacing w:val="0"/>
          <w:position w:val="0"/>
          <w:sz w:val="28"/>
          <w:shd w:fill="auto" w:val="clear"/>
        </w:rPr>
        <w:t xml:space="preserve">объем бюджетных ассигнований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предлагается увеличить на 580,9 тыс. рублей в виду увеличения бюджетных ассигнований по подразделу </w:t>
      </w:r>
      <w:r>
        <w:rPr>
          <w:rFonts w:ascii="Times New Roman" w:hAnsi="Times New Roman" w:cs="Times New Roman" w:eastAsia="Times New Roman"/>
          <w:i/>
          <w:color w:val="auto"/>
          <w:spacing w:val="0"/>
          <w:position w:val="0"/>
          <w:sz w:val="28"/>
          <w:shd w:fill="auto" w:val="clear"/>
        </w:rPr>
        <w:t xml:space="preserve">0503 «Благоустройство». </w:t>
      </w:r>
      <w:r>
        <w:rPr>
          <w:rFonts w:ascii="Times New Roman" w:hAnsi="Times New Roman" w:cs="Times New Roman" w:eastAsia="Times New Roman"/>
          <w:color w:val="auto"/>
          <w:spacing w:val="0"/>
          <w:position w:val="0"/>
          <w:sz w:val="28"/>
          <w:shd w:fill="auto" w:val="clear"/>
        </w:rPr>
        <w:t xml:space="preserve">Предлагается увеличить расходы: на организацию уличного освещения (за счет собственных средств поселения) на 419,0 тыс. рублей, на прочие мероприятия по благоустройству на 111,9 тыс. рублей, на благоустройство мест захоронения участников ВОВ на 50,0 тыс. рублей (за счет поступающих прочих безвозмездных поступлений от негосударственных организаций).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объем расходов по разделу </w:t>
      </w:r>
      <w:r>
        <w:rPr>
          <w:rFonts w:ascii="Times New Roman" w:hAnsi="Times New Roman" w:cs="Times New Roman" w:eastAsia="Times New Roman"/>
          <w:b/>
          <w:color w:val="auto"/>
          <w:spacing w:val="0"/>
          <w:position w:val="0"/>
          <w:sz w:val="28"/>
          <w:shd w:fill="auto" w:val="clear"/>
        </w:rPr>
        <w:t xml:space="preserve">08 «Культура, кинематография» </w:t>
      </w:r>
      <w:r>
        <w:rPr>
          <w:rFonts w:ascii="Times New Roman" w:hAnsi="Times New Roman" w:cs="Times New Roman" w:eastAsia="Times New Roman"/>
          <w:color w:val="auto"/>
          <w:spacing w:val="0"/>
          <w:position w:val="0"/>
          <w:sz w:val="28"/>
          <w:shd w:fill="auto" w:val="clear"/>
        </w:rPr>
        <w:t xml:space="preserve">предлагается сократить на 348,0 тыс. рублей в виду уменьшения расходов по подразделу </w:t>
      </w:r>
      <w:r>
        <w:rPr>
          <w:rFonts w:ascii="Times New Roman" w:hAnsi="Times New Roman" w:cs="Times New Roman" w:eastAsia="Times New Roman"/>
          <w:i/>
          <w:color w:val="auto"/>
          <w:spacing w:val="0"/>
          <w:position w:val="0"/>
          <w:sz w:val="28"/>
          <w:shd w:fill="auto" w:val="clear"/>
        </w:rPr>
        <w:t xml:space="preserve">0801 «Культура». </w:t>
      </w:r>
      <w:r>
        <w:rPr>
          <w:rFonts w:ascii="Times New Roman" w:hAnsi="Times New Roman" w:cs="Times New Roman" w:eastAsia="Times New Roman"/>
          <w:color w:val="auto"/>
          <w:spacing w:val="0"/>
          <w:position w:val="0"/>
          <w:sz w:val="28"/>
          <w:shd w:fill="auto" w:val="clear"/>
        </w:rPr>
        <w:t xml:space="preserve">Расходы на выплаты персоналу казенных учреждений уменьшатся на 400,0 тыс. рублей, на иные закупки товаров, работ, услуг увеличатся на 52,0 тыс. рублей.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Объем дефицита бюджета составит 1270,9 тыс. рублей. Утвержденный объем дефицита соответствует нормам статьи 92.1 Бюджетного кодекса Российской Федерации. Источник финансирования дефицита бюджета - изменение средств на счетах бюджета по состоянию на 01.01.2023 года.</w:t>
      </w:r>
    </w:p>
    <w:p>
      <w:pPr>
        <w:tabs>
          <w:tab w:val="left" w:pos="567" w:leader="none"/>
        </w:tabs>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внесены изменения в финансирование муниципальных программ на 2023 год. Общий объем средств, направляемый на реализацию муниципальных программ, увеличится на 189,1 тыс. рублей (+1,0 %) и составит в 2023 году 20073,7 тыс. рублей. </w:t>
      </w:r>
    </w:p>
    <w:p>
      <w:pPr>
        <w:tabs>
          <w:tab w:val="left" w:pos="567" w:leader="none"/>
        </w:tabs>
        <w:spacing w:before="0" w:after="12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Проектом решения внесены соответствующие изменения в приложения к решению от 16.12.2022 года № 10 «О бюджете сельского поселения Оштинское Вытегорского муниципального района Вологодской области на 2023 год и плановый период 2024 и 2025 годов».</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567"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Выводы и предложения.</w:t>
      </w: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Внесение изменений в решение о бюджете поселения является обоснованным. Представленный проект решения </w:t>
      </w:r>
      <w:r>
        <w:rPr>
          <w:rFonts w:ascii="Times New Roman" w:hAnsi="Times New Roman" w:cs="Times New Roman" w:eastAsia="Times New Roman"/>
          <w:b/>
          <w:color w:val="auto"/>
          <w:spacing w:val="0"/>
          <w:position w:val="0"/>
          <w:sz w:val="28"/>
          <w:shd w:fill="auto" w:val="clear"/>
        </w:rPr>
        <w:t xml:space="preserve">соответствует </w:t>
      </w:r>
      <w:r>
        <w:rPr>
          <w:rFonts w:ascii="Times New Roman" w:hAnsi="Times New Roman" w:cs="Times New Roman" w:eastAsia="Times New Roman"/>
          <w:color w:val="auto"/>
          <w:spacing w:val="0"/>
          <w:position w:val="0"/>
          <w:sz w:val="28"/>
          <w:shd w:fill="auto" w:val="clear"/>
        </w:rPr>
        <w:t xml:space="preserve">требованиям Бюджетного кодекса Российской Федерации, Федерального закона № 131-ФЗ от 06.10.2003 «Об общих принципах организации местного самоуправления в Российской Федерации», Положению о бюджетном процессе в сельском поселении Оштинское и рекомендуется </w:t>
      </w:r>
      <w:r>
        <w:rPr>
          <w:rFonts w:ascii="Times New Roman" w:hAnsi="Times New Roman" w:cs="Times New Roman" w:eastAsia="Times New Roman"/>
          <w:b/>
          <w:color w:val="auto"/>
          <w:spacing w:val="0"/>
          <w:position w:val="0"/>
          <w:sz w:val="28"/>
          <w:shd w:fill="auto" w:val="clear"/>
        </w:rPr>
        <w:t xml:space="preserve">к рассмотрению.</w:t>
      </w: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52"/>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160" w:line="252"/>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Аудитор Ревизионной комиссии                                   О.Е. Нестерова</w:t>
      </w:r>
    </w:p>
    <w:p>
      <w:pPr>
        <w:spacing w:before="0" w:after="160" w:line="252"/>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