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/>
        <w:drawing>
          <wp:inline distT="0" distB="0" distL="0" distR="0">
            <wp:extent cx="487680" cy="57277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32" w:before="40" w:after="160"/>
        <w:ind w:left="0" w:right="0" w:hang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>
      <w:pPr>
        <w:pStyle w:val="Normal"/>
        <w:bidi w:val="0"/>
        <w:spacing w:lineRule="auto" w:line="232" w:before="40" w:after="160"/>
        <w:ind w:left="0" w:right="0" w:hang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>
      <w:pPr>
        <w:pStyle w:val="NoSpacing"/>
        <w:bidi w:val="0"/>
        <w:ind w:left="0" w:right="0" w:hanging="0"/>
        <w:jc w:val="center"/>
        <w:rPr/>
      </w:pPr>
      <w:r>
        <w:rPr/>
        <w:t xml:space="preserve">тел. (81746)    2-22-03,    факс (81746) ______,             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>
      <w:pPr>
        <w:pStyle w:val="Normal"/>
        <w:bidi w:val="0"/>
        <w:spacing w:lineRule="auto" w:line="232" w:before="40" w:after="160"/>
        <w:ind w:left="0" w:right="0" w:hanging="0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b/>
          <w:spacing w:val="50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28575" t="28575" r="28575" b="28575"/>
                <wp:wrapNone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3.65pt" to="491.75pt,13.65pt" ID="Line 2" stroked="t" o:allowincell="f" style="position:absolute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ЗАКЛЮЧЕНИЕ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на проект решения Совета сельского поселения Оштинское Вытегорского муниципального района Вологодской области 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12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03.03.2023                                                                                                        г. Вытегра</w:t>
      </w:r>
    </w:p>
    <w:p>
      <w:pPr>
        <w:pStyle w:val="Normal"/>
        <w:bidi w:val="0"/>
        <w:spacing w:before="0" w:after="12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          </w:t>
      </w:r>
      <w:r>
        <w:rPr>
          <w:rFonts w:ascii="Times New Roman" w:hAnsi="Times New Roman"/>
          <w:sz w:val="28"/>
          <w:szCs w:val="28"/>
          <w:lang w:eastAsia="en-US"/>
        </w:rPr>
        <w:t>Заключение Ревизионной комиссии Вытегорского муниципального района на проект решения Совета сельского поселения Оштинское Вытегорского муниципального района Вологодской области «О внесении изменений в решение Совета сельского поселения Оштинское от 16.12.2022 года № 10»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Оштинское и Представительным Собранием Вытегорского муниципального района на 2023 год.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   </w:t>
      </w:r>
      <w:r>
        <w:rPr>
          <w:rFonts w:ascii="Times New Roman" w:hAnsi="Times New Roman"/>
          <w:sz w:val="28"/>
          <w:szCs w:val="28"/>
          <w:lang w:eastAsia="en-US"/>
        </w:rPr>
        <w:t xml:space="preserve">Проектом решения вносятся изменения в решение Совета сельского поселения Оштинское от 16.12.2022 года № 10 «О бюджете сельского поселения Оштинское Вытегорского муниципального района Вологодской области на 2023 год и плановый период 2024 и 2025 годов».  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         </w:t>
      </w:r>
      <w:r>
        <w:rPr>
          <w:rFonts w:ascii="Times New Roman" w:hAnsi="Times New Roman"/>
          <w:sz w:val="28"/>
          <w:szCs w:val="28"/>
        </w:rPr>
        <w:t xml:space="preserve">Первоначально бюджет поселения утвержден по доходам и расходам в сумме 16419,4 тыс. рублей - без дефицита.    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</w:t>
      </w:r>
      <w:r>
        <w:rPr>
          <w:rFonts w:ascii="Times New Roman" w:hAnsi="Times New Roman"/>
          <w:sz w:val="28"/>
          <w:szCs w:val="28"/>
          <w:lang w:eastAsia="en-US"/>
        </w:rPr>
        <w:t>Проектом решения предлагается: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внести изменения в расходную часть бюджета поселения на 2023 год;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утвердить дефицит бюджета поселения на 2023 год в сумме 317,6 тыс. рублей. 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</w:t>
      </w:r>
      <w:r>
        <w:rPr>
          <w:rFonts w:ascii="Times New Roman" w:hAnsi="Times New Roman"/>
          <w:sz w:val="28"/>
          <w:szCs w:val="28"/>
          <w:lang w:eastAsia="en-US"/>
        </w:rPr>
        <w:t>Изменения в показатели бюджета поселения на 2023 год приведены в таблице:</w:t>
      </w:r>
    </w:p>
    <w:tbl>
      <w:tblPr>
        <w:tblW w:w="9345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1678"/>
        <w:gridCol w:w="1676"/>
        <w:gridCol w:w="1259"/>
        <w:gridCol w:w="1107"/>
      </w:tblGrid>
      <w:tr>
        <w:trPr>
          <w:trHeight w:val="540" w:hRule="atLeast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en-US"/>
              </w:rPr>
      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      </w:r>
            <w:r>
              <w:rPr>
                <w:rFonts w:eastAsia="Times New Roman" w:ascii="Times New Roman" w:hAnsi="Times New Roman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en-US"/>
              </w:rPr>
              <w:t xml:space="preserve">Утверждено решением о бюджете от 16.12.22 № 10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en-US"/>
              </w:rPr>
              <w:t>Предлагаемые проектом решения изменения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en-US"/>
              </w:rPr>
              <w:t xml:space="preserve">Изменение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en-US"/>
              </w:rPr>
              <w:t>% изменения</w:t>
            </w:r>
          </w:p>
        </w:tc>
      </w:tr>
      <w:tr>
        <w:trPr>
          <w:trHeight w:val="300" w:hRule="atLeast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en-US"/>
              </w:rPr>
              <w:t>Доходы, всего (тыс. рублей)</w:t>
            </w:r>
          </w:p>
        </w:tc>
        <w:tc>
          <w:tcPr>
            <w:tcW w:w="16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16419,4</w:t>
            </w:r>
          </w:p>
        </w:tc>
        <w:tc>
          <w:tcPr>
            <w:tcW w:w="16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16419,4</w:t>
            </w: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0,0%</w:t>
            </w:r>
          </w:p>
        </w:tc>
      </w:tr>
      <w:tr>
        <w:trPr>
          <w:trHeight w:val="300" w:hRule="atLeast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16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en-US"/>
              </w:rPr>
              <w:t>1312,0</w:t>
            </w:r>
          </w:p>
        </w:tc>
        <w:tc>
          <w:tcPr>
            <w:tcW w:w="16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en-US"/>
              </w:rPr>
              <w:t>1312,0</w:t>
            </w: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0,0%</w:t>
            </w:r>
          </w:p>
        </w:tc>
      </w:tr>
      <w:tr>
        <w:trPr>
          <w:trHeight w:val="300" w:hRule="atLeast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en-US"/>
              </w:rPr>
              <w:t>15107,4</w:t>
            </w: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en-US"/>
              </w:rPr>
              <w:t>15107,4</w:t>
            </w: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0,0%</w:t>
            </w:r>
          </w:p>
        </w:tc>
      </w:tr>
      <w:tr>
        <w:trPr>
          <w:trHeight w:val="300" w:hRule="atLeast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en-US"/>
              </w:rPr>
              <w:t>Расходы, всего (тыс. рублей)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en-US"/>
              </w:rPr>
              <w:t>16419,4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en-US"/>
              </w:rPr>
              <w:t>16737,0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en-US"/>
              </w:rPr>
              <w:t>+317,6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en-US"/>
              </w:rPr>
              <w:t>+1,9%</w:t>
            </w:r>
          </w:p>
        </w:tc>
      </w:tr>
      <w:tr>
        <w:trPr>
          <w:trHeight w:val="300" w:hRule="atLeast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en-US"/>
              </w:rPr>
              <w:t>Дефицит (-), профицит (+) бюджета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en-US"/>
              </w:rPr>
              <w:t>- 317,6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</w:t>
      </w:r>
      <w:r>
        <w:rPr>
          <w:rFonts w:ascii="Times New Roman" w:hAnsi="Times New Roman"/>
          <w:sz w:val="28"/>
          <w:szCs w:val="28"/>
          <w:lang w:eastAsia="en-US"/>
        </w:rPr>
        <w:t>Доходная часть бюджета поселения не изменится. Расходная часть бюджета увеличится на 317,6 тыс. рублей и составит 16737,0 тыс. рублей. Увеличение расходной части бюджета предлагается произвести за счет остатка средств на счете поселения по состоянию на 01.01.2023 года.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</w:t>
      </w:r>
      <w:r>
        <w:rPr>
          <w:rFonts w:ascii="Times New Roman" w:hAnsi="Times New Roman"/>
          <w:sz w:val="28"/>
          <w:szCs w:val="28"/>
          <w:lang w:eastAsia="en-US"/>
        </w:rPr>
        <w:t>Проектом решения предлагается утвердить дефицит бюджета в размере 317,6 тыс. рублей. Утвержденный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01.01.2023 года.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 </w:t>
      </w:r>
      <w:r>
        <w:rPr>
          <w:rFonts w:ascii="Times New Roman" w:hAnsi="Times New Roman"/>
          <w:sz w:val="28"/>
          <w:szCs w:val="28"/>
          <w:lang w:eastAsia="en-US"/>
        </w:rPr>
        <w:t xml:space="preserve">Бюджетные ассигнования по разделу </w:t>
      </w:r>
      <w:r>
        <w:rPr>
          <w:rFonts w:ascii="Times New Roman" w:hAnsi="Times New Roman"/>
          <w:b/>
          <w:sz w:val="28"/>
          <w:szCs w:val="28"/>
          <w:lang w:eastAsia="en-US"/>
        </w:rPr>
        <w:t>01 «Общегосударственные вопросы»</w:t>
      </w:r>
      <w:r>
        <w:rPr>
          <w:rFonts w:ascii="Times New Roman" w:hAnsi="Times New Roman"/>
          <w:sz w:val="28"/>
          <w:szCs w:val="28"/>
          <w:lang w:eastAsia="en-US"/>
        </w:rPr>
        <w:t xml:space="preserve"> предлагается увеличить на 318,7 тыс. рублей (+6,0%). Расходы планируется увеличить по подразделу </w:t>
      </w:r>
      <w:r>
        <w:rPr>
          <w:rFonts w:ascii="Times New Roman" w:hAnsi="Times New Roman"/>
          <w:i/>
          <w:sz w:val="28"/>
          <w:szCs w:val="28"/>
          <w:lang w:eastAsia="en-US"/>
        </w:rPr>
        <w:t>0113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en-US"/>
        </w:rPr>
        <w:t>«Другие общегосударственные вопросы»:</w:t>
      </w:r>
      <w:r>
        <w:rPr>
          <w:rFonts w:ascii="Times New Roman" w:hAnsi="Times New Roman"/>
          <w:sz w:val="28"/>
          <w:szCs w:val="28"/>
          <w:lang w:eastAsia="en-US"/>
        </w:rPr>
        <w:t xml:space="preserve"> взнос в Ассоциацию «Совет муниципальных образований Вологодской области» на 1,1 тыс. рублей, утверждаются расходы на реализацию муниципальных функций, связанных с общегосударственным управлением (возмещение расходов на исполнение судебных актов) в сумме 317,6 тыс. рублей. 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</w:t>
      </w:r>
      <w:r>
        <w:rPr>
          <w:rFonts w:ascii="Times New Roman" w:hAnsi="Times New Roman"/>
          <w:sz w:val="28"/>
          <w:szCs w:val="28"/>
          <w:lang w:eastAsia="en-US"/>
        </w:rPr>
        <w:t xml:space="preserve">Бюджетные ассигнования по разделу </w:t>
      </w:r>
      <w:r>
        <w:rPr>
          <w:rFonts w:ascii="Times New Roman" w:hAnsi="Times New Roman"/>
          <w:b/>
          <w:sz w:val="28"/>
          <w:szCs w:val="28"/>
          <w:lang w:eastAsia="en-US"/>
        </w:rPr>
        <w:t>05 «Жилищно-коммунальное хозяйство»</w:t>
      </w:r>
      <w:r>
        <w:rPr>
          <w:rFonts w:ascii="Times New Roman" w:hAnsi="Times New Roman"/>
          <w:sz w:val="28"/>
          <w:szCs w:val="28"/>
          <w:lang w:eastAsia="en-US"/>
        </w:rPr>
        <w:t xml:space="preserve"> уменьшатся на 33,9 тыс. рублей (подраздел 0503 </w:t>
      </w:r>
      <w:r>
        <w:rPr>
          <w:rFonts w:ascii="Times New Roman" w:hAnsi="Times New Roman"/>
          <w:i/>
          <w:sz w:val="24"/>
          <w:szCs w:val="24"/>
          <w:lang w:eastAsia="en-US"/>
        </w:rPr>
        <w:t>«Благоустройство»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). </w:t>
      </w:r>
      <w:r>
        <w:rPr>
          <w:rFonts w:ascii="Times New Roman" w:hAnsi="Times New Roman"/>
          <w:sz w:val="28"/>
          <w:szCs w:val="28"/>
          <w:lang w:eastAsia="en-US"/>
        </w:rPr>
        <w:t>Изменятся расходы: на организацию уличного освещения (осуществляемые за счет средств местного бюджета) увеличатся на 30,0 тыс. рублей, иные межбюджетные трансферты на осуществление полномочий по воинским захоронениям уменьшатся на 63,9 тыс. рублей.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</w:t>
      </w:r>
      <w:r>
        <w:rPr>
          <w:rFonts w:ascii="Times New Roman" w:hAnsi="Times New Roman"/>
          <w:sz w:val="28"/>
          <w:szCs w:val="28"/>
          <w:lang w:eastAsia="en-US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  <w:lang w:eastAsia="en-US"/>
        </w:rPr>
        <w:t>08 «Культура, кинематография»</w:t>
      </w:r>
      <w:r>
        <w:rPr>
          <w:rFonts w:ascii="Times New Roman" w:hAnsi="Times New Roman"/>
          <w:sz w:val="28"/>
          <w:szCs w:val="28"/>
          <w:lang w:eastAsia="en-US"/>
        </w:rPr>
        <w:t xml:space="preserve"> расходы увеличатся на 32,8 тыс. рублей. Предлагается увеличить расходы на содержание учреждения культуры, увеличив расходы на закупки.        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</w:t>
      </w:r>
      <w:r>
        <w:rPr>
          <w:rFonts w:ascii="Times New Roman" w:hAnsi="Times New Roman"/>
          <w:sz w:val="28"/>
          <w:szCs w:val="28"/>
          <w:lang w:eastAsia="en-US"/>
        </w:rPr>
        <w:t xml:space="preserve">Проектом решения внесены изменения в финансирование муниципальных программ на 2023 год. Общий объем средств, направляемый на реализацию муниципальных программ, увеличится на 63,9 тыс. рублей и составит в 2023 году 16146,1 тыс. рублей. 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12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eastAsia="en-US"/>
        </w:rPr>
        <w:t xml:space="preserve">    </w:t>
      </w:r>
      <w:r>
        <w:rPr>
          <w:rFonts w:ascii="Times New Roman" w:hAnsi="Times New Roman"/>
          <w:sz w:val="28"/>
          <w:szCs w:val="28"/>
          <w:lang w:eastAsia="en-US"/>
        </w:rPr>
        <w:t>Проектом решения внесены соответствующие изменения в приложения к решению от 16.12.2022 года № 10 «О бюджете сельского поселения Оштинское Вытегорского муниципального района Вологодской области на 2023 год и плановый период 2024 и 2025 годов».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</w:t>
      </w:r>
      <w:r>
        <w:rPr>
          <w:rFonts w:ascii="Times New Roman" w:hAnsi="Times New Roman"/>
          <w:sz w:val="28"/>
          <w:szCs w:val="28"/>
          <w:lang w:eastAsia="en-US"/>
        </w:rPr>
        <w:t xml:space="preserve">В результате уменьшения объема бюджетных ассигнований на 63,9 тыс. рублей на иные межбюджетные трансферты на осуществление полномочий по воинским захоронениям общий </w:t>
      </w:r>
      <w:r>
        <w:rPr>
          <w:rFonts w:ascii="Times New Roman" w:hAnsi="Times New Roman"/>
          <w:sz w:val="28"/>
          <w:szCs w:val="28"/>
        </w:rPr>
        <w:t xml:space="preserve">объем межбюджетных трансфертов, предоставляемых бюджету Вытегорского муниципального района из бюджета сельского поселения Оштинское на осуществление полномочий по решению вопросов местного значения в соответствии с заключенными соглашениями, утвержденный пунктом 8 решения о бюджете поселения, уменьшится на 63,9 тыс. рублей и составит 529,1 тыс. рублей. 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          </w:t>
      </w:r>
      <w:r>
        <w:rPr>
          <w:rFonts w:ascii="Times New Roman" w:hAnsi="Times New Roman"/>
          <w:sz w:val="28"/>
          <w:szCs w:val="28"/>
          <w:u w:val="single"/>
        </w:rPr>
        <w:t xml:space="preserve">Ревизионная комиссия рекомендует соответствующие изменения внести в пункт 8 решения о бюджете поселения, отразив в проекте решения. 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  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</w:t>
      </w:r>
      <w:r>
        <w:rPr>
          <w:rFonts w:ascii="Times New Roman" w:hAnsi="Times New Roman"/>
          <w:b/>
          <w:sz w:val="28"/>
          <w:szCs w:val="28"/>
        </w:rPr>
        <w:t>Выводы и предложения.</w:t>
      </w:r>
    </w:p>
    <w:p>
      <w:pPr>
        <w:pStyle w:val="Normal"/>
        <w:bidi w:val="0"/>
        <w:spacing w:lineRule="auto" w:line="256" w:before="0" w:after="0"/>
        <w:ind w:left="0" w:right="0" w:hanging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          </w:t>
      </w:r>
      <w:r>
        <w:rPr>
          <w:rFonts w:ascii="Times New Roman" w:hAnsi="Times New Roman"/>
          <w:sz w:val="28"/>
          <w:szCs w:val="28"/>
          <w:lang w:eastAsia="en-US"/>
        </w:rPr>
        <w:t xml:space="preserve">Представленный проект решения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соответствует </w:t>
      </w:r>
      <w:r>
        <w:rPr>
          <w:rFonts w:ascii="Times New Roman" w:hAnsi="Times New Roman"/>
          <w:sz w:val="28"/>
          <w:szCs w:val="28"/>
          <w:lang w:eastAsia="en-US"/>
        </w:rPr>
        <w:t xml:space="preserve">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Оштинское и рекомендуется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к рассмотрению с учетом рекомендаций. </w:t>
      </w:r>
    </w:p>
    <w:p>
      <w:pPr>
        <w:pStyle w:val="Normal"/>
        <w:bidi w:val="0"/>
        <w:spacing w:lineRule="auto" w:line="256" w:before="0" w:after="0"/>
        <w:ind w:left="0" w:right="0" w:hanging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bidi w:val="0"/>
        <w:spacing w:lineRule="auto" w:line="256" w:before="0" w:after="16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t>Аудитор Ревизионной комиссии                                                                      О.Е. Нестерова</w:t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rFonts w:ascii="Times New Roman" w:hAnsi="Times New Roman" w:eastAsia="Times New Roman"/>
      <w:sz w:val="16"/>
      <w:szCs w:val="16"/>
    </w:rPr>
  </w:style>
  <w:style w:type="character" w:styleId="Style15">
    <w:name w:val="Текст примечания Знак"/>
    <w:basedOn w:val="DefaultParagraphFont"/>
    <w:qFormat/>
    <w:rPr>
      <w:rFonts w:ascii="Times New Roman" w:hAnsi="Times New Roman" w:eastAsia="Times New Roman"/>
      <w:sz w:val="20"/>
      <w:szCs w:val="20"/>
    </w:rPr>
  </w:style>
  <w:style w:type="character" w:styleId="Style16">
    <w:name w:val="Тема примечания Знак"/>
    <w:basedOn w:val="Style15"/>
    <w:qFormat/>
    <w:rPr>
      <w:rFonts w:ascii="Times New Roman" w:hAnsi="Times New Roman" w:eastAsia="Times New Roman"/>
      <w:b/>
      <w:bCs/>
      <w:sz w:val="20"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lang w:eastAsia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  <w:sz w:val="20"/>
      <w:szCs w:val="20"/>
    </w:rPr>
  </w:style>
  <w:style w:type="paragraph" w:styleId="1">
    <w:name w:val="Сетка таблицы1"/>
    <w:basedOn w:val="NormalTable"/>
    <w:next w:val="TableGrid"/>
    <w:qFormat/>
    <w:pPr>
      <w:pBdr/>
      <w:spacing w:lineRule="auto" w:line="240" w:before="0" w:after="0"/>
    </w:pPr>
    <w:rPr>
      <w:lang w:eastAsia="en-US"/>
    </w:rPr>
  </w:style>
  <w:style w:type="paragraph" w:styleId="2">
    <w:name w:val="Сетка таблицы2"/>
    <w:basedOn w:val="NormalTable"/>
    <w:next w:val="TableGrid"/>
    <w:qFormat/>
    <w:pPr>
      <w:pBdr/>
      <w:spacing w:lineRule="auto" w:line="240" w:before="0" w:after="0"/>
    </w:pPr>
    <w:rPr>
      <w:lang w:eastAsia="en-US"/>
    </w:rPr>
  </w:style>
  <w:style w:type="paragraph" w:styleId="3">
    <w:name w:val="Сетка таблицы3"/>
    <w:basedOn w:val="NormalTable"/>
    <w:next w:val="TableGrid"/>
    <w:qFormat/>
    <w:pPr>
      <w:pBdr/>
      <w:spacing w:lineRule="auto" w:line="240" w:before="0" w:after="0"/>
    </w:pPr>
    <w:rPr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LibreOffice/7.5.3.2$Windows_X86_64 LibreOffice_project/9f56dff12ba03b9acd7730a5a481eea045e468f3</Application>
  <AppVersion>15.0000</AppVersion>
  <Pages>2</Pages>
  <Words>637</Words>
  <Characters>4401</Characters>
  <CharactersWithSpaces>5592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2021-05-21T15:57:00Z</dcterms:created>
  <dc:creator/>
  <dc:description/>
  <dc:language>ru-RU</dc:language>
  <cp:lastModifiedBy/>
  <cp:lastPrinted>2022-01-27T14:39:00Z</cp:lastPrinted>
  <dcterms:modified xsi:type="dcterms:W3CDTF">2023-06-09T13:25:00Z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