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92" w:rsidRDefault="000A6571">
      <w:pPr>
        <w:tabs>
          <w:tab w:val="left" w:pos="567"/>
        </w:tabs>
        <w:jc w:val="center"/>
        <w:rPr>
          <w:noProof/>
          <w:lang w:eastAsia="ru-RU"/>
        </w:rPr>
      </w:pPr>
      <w:r w:rsidRPr="00EF1D5A">
        <w:rPr>
          <w:noProof/>
          <w:lang w:eastAsia="ru-RU"/>
        </w:rPr>
        <w:drawing>
          <wp:inline distT="0" distB="0" distL="0" distR="0">
            <wp:extent cx="480060" cy="563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FC2292" w:rsidRDefault="00A9156B" w:rsidP="00654C98">
      <w:pPr>
        <w:spacing w:after="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FC2292" w:rsidRDefault="00A9156B" w:rsidP="00654C98">
      <w:pPr>
        <w:pStyle w:val="af3"/>
        <w:jc w:val="center"/>
      </w:pPr>
      <w:r>
        <w:t xml:space="preserve">тел. (81746) 2-22-03, факс (81746) ______,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FC2292" w:rsidRDefault="00A9156B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4290" r="36830" b="32384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ed="f" strokecolor="#000000" strokeweight="4.50pt"/>
            </w:pict>
          </mc:Fallback>
        </mc:AlternateContent>
      </w:r>
    </w:p>
    <w:p w:rsidR="00FC2292" w:rsidRDefault="00A915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FC2292" w:rsidRDefault="00A9156B" w:rsidP="00654C98">
      <w:pPr>
        <w:tabs>
          <w:tab w:val="left" w:pos="567"/>
        </w:tabs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Совета сельского поселения Девятинское </w:t>
      </w:r>
      <w:r w:rsidR="00654C98">
        <w:rPr>
          <w:rFonts w:ascii="Times New Roman" w:hAnsi="Times New Roman"/>
          <w:b/>
          <w:sz w:val="28"/>
          <w:szCs w:val="28"/>
        </w:rPr>
        <w:t>Вытегорского муниципального района Вологодской области</w:t>
      </w:r>
    </w:p>
    <w:p w:rsidR="00FC2292" w:rsidRDefault="0023595B" w:rsidP="00654C9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9156B">
        <w:rPr>
          <w:rFonts w:ascii="Times New Roman" w:hAnsi="Times New Roman"/>
          <w:sz w:val="28"/>
          <w:szCs w:val="28"/>
        </w:rPr>
        <w:t>.</w:t>
      </w:r>
      <w:r w:rsidR="00E774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A9156B">
        <w:rPr>
          <w:rFonts w:ascii="Times New Roman" w:hAnsi="Times New Roman"/>
          <w:sz w:val="28"/>
          <w:szCs w:val="28"/>
        </w:rPr>
        <w:t>.2023 г.                                                                                г. Вытегра</w:t>
      </w:r>
    </w:p>
    <w:p w:rsidR="00FC2292" w:rsidRDefault="00A9156B">
      <w:pPr>
        <w:spacing w:after="12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Девятинское </w:t>
      </w:r>
      <w:r w:rsidR="00654C98" w:rsidRPr="00654C98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654C98">
        <w:rPr>
          <w:rFonts w:ascii="Times New Roman" w:hAnsi="Times New Roman"/>
          <w:sz w:val="28"/>
          <w:szCs w:val="28"/>
        </w:rPr>
        <w:t xml:space="preserve"> (далее - Совета сельского поселения Девятинское) </w:t>
      </w:r>
      <w:r>
        <w:rPr>
          <w:rFonts w:ascii="Times New Roman" w:hAnsi="Times New Roman"/>
          <w:sz w:val="28"/>
          <w:szCs w:val="28"/>
        </w:rPr>
        <w:t>«О внесении изменений в решение Совета сельского поселения Девятинское</w:t>
      </w:r>
      <w:r w:rsidR="00654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23.12.2022 № 16»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Вытегорского муниципального района на 2023 год.    </w:t>
      </w:r>
      <w:r>
        <w:rPr>
          <w:sz w:val="28"/>
          <w:szCs w:val="28"/>
        </w:rPr>
        <w:t xml:space="preserve">       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решение Совета сельского поселения Девятинское от 23.12.2022 года № 16 «О бюджете сельского поселения Девятинское на 2023 год и плановый период 2024 и 2025 годов». </w:t>
      </w:r>
    </w:p>
    <w:p w:rsidR="00FC2292" w:rsidRDefault="00A9156B" w:rsidP="00E774BA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Предлагается внести изменения в доходную и расходную части бюджета поселения на 2023 год. </w:t>
      </w:r>
    </w:p>
    <w:p w:rsidR="00FC2292" w:rsidRDefault="00A915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в показатели бюджета поселения на 2023 год приведены в таблице: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FC2292" w:rsidRPr="00E774BA">
        <w:trPr>
          <w:trHeight w:val="672"/>
        </w:trPr>
        <w:tc>
          <w:tcPr>
            <w:tcW w:w="3626" w:type="dxa"/>
            <w:noWrap/>
          </w:tcPr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C2292" w:rsidRPr="00E774BA" w:rsidRDefault="00FC229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23.12.22 № 16</w:t>
            </w:r>
            <w:r w:rsidR="00E774BA" w:rsidRPr="00E774BA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677" w:type="dxa"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9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0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4C10AC" w:rsidRPr="00E774BA" w:rsidTr="008E6B62">
        <w:trPr>
          <w:trHeight w:val="300"/>
        </w:trPr>
        <w:tc>
          <w:tcPr>
            <w:tcW w:w="3626" w:type="dxa"/>
            <w:noWrap/>
          </w:tcPr>
          <w:p w:rsidR="004C10AC" w:rsidRPr="00E774BA" w:rsidRDefault="004C10AC" w:rsidP="004C10A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25108,5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24650,6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-457,9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-1,8%</w:t>
            </w:r>
          </w:p>
        </w:tc>
      </w:tr>
      <w:tr w:rsidR="004C10AC" w:rsidRPr="00E774BA" w:rsidTr="008E6B62">
        <w:trPr>
          <w:trHeight w:val="300"/>
        </w:trPr>
        <w:tc>
          <w:tcPr>
            <w:tcW w:w="3626" w:type="dxa"/>
            <w:noWrap/>
          </w:tcPr>
          <w:p w:rsidR="004C10AC" w:rsidRPr="00E774BA" w:rsidRDefault="004C10AC" w:rsidP="004C10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color w:val="000000"/>
                <w:sz w:val="18"/>
                <w:szCs w:val="18"/>
              </w:rPr>
              <w:t>5401,7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4C10AC" w:rsidRPr="00E774BA" w:rsidTr="008E6B62">
        <w:trPr>
          <w:trHeight w:val="300"/>
        </w:trPr>
        <w:tc>
          <w:tcPr>
            <w:tcW w:w="3626" w:type="dxa"/>
            <w:noWrap/>
          </w:tcPr>
          <w:p w:rsidR="004C10AC" w:rsidRPr="00E774BA" w:rsidRDefault="004C10AC" w:rsidP="004C10A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74BA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color w:val="000000"/>
                <w:sz w:val="18"/>
                <w:szCs w:val="18"/>
              </w:rPr>
              <w:t>19706,8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color w:val="000000"/>
                <w:sz w:val="18"/>
                <w:szCs w:val="18"/>
              </w:rPr>
              <w:t>19248,9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-457,9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10AC" w:rsidRPr="004C10AC" w:rsidRDefault="004C10AC" w:rsidP="004C10A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C10A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-2,3%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FC2292" w:rsidRPr="00E774BA" w:rsidRDefault="004C10AC" w:rsidP="00E774B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25108,5</w:t>
            </w:r>
          </w:p>
        </w:tc>
        <w:tc>
          <w:tcPr>
            <w:tcW w:w="1677" w:type="dxa"/>
            <w:noWrap/>
          </w:tcPr>
          <w:p w:rsidR="00FC2292" w:rsidRPr="00E774BA" w:rsidRDefault="00E774BA" w:rsidP="004C10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10AC">
              <w:rPr>
                <w:rFonts w:ascii="Times New Roman" w:hAnsi="Times New Roman"/>
                <w:b/>
                <w:sz w:val="18"/>
                <w:szCs w:val="18"/>
              </w:rPr>
              <w:t>4650,6</w:t>
            </w:r>
          </w:p>
        </w:tc>
        <w:tc>
          <w:tcPr>
            <w:tcW w:w="1259" w:type="dxa"/>
            <w:noWrap/>
          </w:tcPr>
          <w:p w:rsidR="00FC2292" w:rsidRPr="00E774BA" w:rsidRDefault="004C10AC" w:rsidP="004C10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- 457,9</w:t>
            </w:r>
          </w:p>
        </w:tc>
        <w:tc>
          <w:tcPr>
            <w:tcW w:w="1106" w:type="dxa"/>
            <w:noWrap/>
          </w:tcPr>
          <w:p w:rsidR="00FC2292" w:rsidRPr="00E774BA" w:rsidRDefault="004C10AC" w:rsidP="004C10A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-1,8%</w:t>
            </w:r>
          </w:p>
        </w:tc>
      </w:tr>
      <w:tr w:rsidR="00FC2292" w:rsidRPr="00E774BA">
        <w:trPr>
          <w:trHeight w:val="300"/>
        </w:trPr>
        <w:tc>
          <w:tcPr>
            <w:tcW w:w="3626" w:type="dxa"/>
            <w:noWrap/>
          </w:tcPr>
          <w:p w:rsidR="00FC2292" w:rsidRPr="00E774BA" w:rsidRDefault="00A9156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FC2292" w:rsidRPr="00E774BA" w:rsidRDefault="00A915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677" w:type="dxa"/>
            <w:noWrap/>
          </w:tcPr>
          <w:p w:rsidR="00FC2292" w:rsidRPr="00E774BA" w:rsidRDefault="00A915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59" w:type="dxa"/>
            <w:noWrap/>
          </w:tcPr>
          <w:p w:rsidR="00FC2292" w:rsidRPr="00E774BA" w:rsidRDefault="00A9156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BA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106" w:type="dxa"/>
            <w:noWrap/>
          </w:tcPr>
          <w:p w:rsidR="00FC2292" w:rsidRPr="00E774BA" w:rsidRDefault="00FC229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16EF0" w:rsidRDefault="00A9156B" w:rsidP="00E075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075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 плановый объем доходов бюджета в 2023 году у</w:t>
      </w:r>
      <w:r w:rsidR="004C10AC">
        <w:rPr>
          <w:rFonts w:ascii="Times New Roman" w:hAnsi="Times New Roman"/>
          <w:sz w:val="28"/>
          <w:szCs w:val="28"/>
        </w:rPr>
        <w:t>меньшится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7FDD">
        <w:rPr>
          <w:rFonts w:ascii="Times New Roman" w:hAnsi="Times New Roman"/>
          <w:sz w:val="28"/>
          <w:szCs w:val="28"/>
        </w:rPr>
        <w:t>на 457,9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797FDD">
        <w:rPr>
          <w:rFonts w:ascii="Times New Roman" w:hAnsi="Times New Roman"/>
          <w:sz w:val="28"/>
          <w:szCs w:val="28"/>
        </w:rPr>
        <w:t xml:space="preserve">- 1,8 </w:t>
      </w:r>
      <w:r>
        <w:rPr>
          <w:rFonts w:ascii="Times New Roman" w:hAnsi="Times New Roman"/>
          <w:sz w:val="28"/>
          <w:szCs w:val="28"/>
        </w:rPr>
        <w:t xml:space="preserve">%) и составит </w:t>
      </w:r>
      <w:r w:rsidR="00797FDD">
        <w:rPr>
          <w:rFonts w:ascii="Times New Roman" w:hAnsi="Times New Roman"/>
          <w:sz w:val="28"/>
          <w:szCs w:val="28"/>
        </w:rPr>
        <w:t>24650,6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E0738" w:rsidRDefault="00116EF0" w:rsidP="00E075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156B">
        <w:rPr>
          <w:rFonts w:ascii="Times New Roman" w:hAnsi="Times New Roman"/>
          <w:sz w:val="28"/>
          <w:szCs w:val="28"/>
        </w:rPr>
        <w:t xml:space="preserve"> План поступлений налоговых и неналоговых доходов останется без изменений и составит 5401,7 тыс. рублей.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учетом исполнения доходов на текущую дату проектом решения предлагается перераспределить плановые назначения между видами доходов</w:t>
      </w:r>
      <w:r w:rsidRPr="00116E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налог на имущество физических лиц и доходы от сдачи в аренду имущества увеличить на 52,9 тыс. рублей и</w:t>
      </w:r>
      <w:r w:rsidRPr="00116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8,9 тыс. </w:t>
      </w:r>
      <w:r>
        <w:rPr>
          <w:rFonts w:ascii="Times New Roman" w:hAnsi="Times New Roman"/>
          <w:sz w:val="28"/>
          <w:szCs w:val="28"/>
        </w:rPr>
        <w:lastRenderedPageBreak/>
        <w:t>рублей</w:t>
      </w:r>
      <w:r>
        <w:rPr>
          <w:rFonts w:ascii="Times New Roman" w:hAnsi="Times New Roman"/>
          <w:sz w:val="28"/>
          <w:szCs w:val="28"/>
        </w:rPr>
        <w:t xml:space="preserve"> соответственно, уменьшить земельный налог с организаций на </w:t>
      </w:r>
      <w:r w:rsidR="00794032">
        <w:rPr>
          <w:rFonts w:ascii="Times New Roman" w:hAnsi="Times New Roman"/>
          <w:sz w:val="28"/>
          <w:szCs w:val="28"/>
        </w:rPr>
        <w:t>29,9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 w:rsidR="008E0738">
        <w:rPr>
          <w:rFonts w:ascii="Times New Roman" w:hAnsi="Times New Roman"/>
          <w:sz w:val="28"/>
          <w:szCs w:val="28"/>
        </w:rPr>
        <w:t>земельный налог с физических лиц на 28,1 тыс. рублей, доходы от поступления государственной пошлины на 3,8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C2292" w:rsidRDefault="00116EF0" w:rsidP="00E0751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16EF0">
        <w:rPr>
          <w:rFonts w:ascii="Times New Roman" w:hAnsi="Times New Roman"/>
          <w:sz w:val="28"/>
          <w:szCs w:val="28"/>
        </w:rPr>
        <w:t xml:space="preserve"> </w:t>
      </w:r>
      <w:r w:rsidR="008E0738">
        <w:rPr>
          <w:rFonts w:ascii="Times New Roman" w:hAnsi="Times New Roman"/>
          <w:sz w:val="28"/>
          <w:szCs w:val="28"/>
        </w:rPr>
        <w:t xml:space="preserve"> </w:t>
      </w:r>
      <w:r w:rsidR="00A9156B">
        <w:rPr>
          <w:rFonts w:ascii="Times New Roman" w:hAnsi="Times New Roman"/>
          <w:sz w:val="28"/>
          <w:szCs w:val="28"/>
        </w:rPr>
        <w:t>Объем безвозмездных поступлений у</w:t>
      </w:r>
      <w:r w:rsidR="00797FDD">
        <w:rPr>
          <w:rFonts w:ascii="Times New Roman" w:hAnsi="Times New Roman"/>
          <w:sz w:val="28"/>
          <w:szCs w:val="28"/>
        </w:rPr>
        <w:t>меньшится</w:t>
      </w:r>
      <w:r w:rsidR="00A9156B">
        <w:rPr>
          <w:rFonts w:ascii="Times New Roman" w:hAnsi="Times New Roman"/>
          <w:sz w:val="28"/>
          <w:szCs w:val="28"/>
        </w:rPr>
        <w:t xml:space="preserve"> на </w:t>
      </w:r>
      <w:r w:rsidR="00797FDD">
        <w:rPr>
          <w:rFonts w:ascii="Times New Roman" w:hAnsi="Times New Roman"/>
          <w:sz w:val="28"/>
          <w:szCs w:val="28"/>
        </w:rPr>
        <w:t>457,9</w:t>
      </w:r>
      <w:r w:rsidR="00A9156B">
        <w:rPr>
          <w:rFonts w:ascii="Times New Roman" w:hAnsi="Times New Roman"/>
          <w:sz w:val="28"/>
          <w:szCs w:val="28"/>
        </w:rPr>
        <w:t xml:space="preserve"> тыс. рублей (</w:t>
      </w:r>
      <w:r w:rsidR="00797FDD">
        <w:rPr>
          <w:rFonts w:ascii="Times New Roman" w:hAnsi="Times New Roman"/>
          <w:sz w:val="28"/>
          <w:szCs w:val="28"/>
        </w:rPr>
        <w:t xml:space="preserve">-2,3 </w:t>
      </w:r>
      <w:r w:rsidR="00A9156B">
        <w:rPr>
          <w:rFonts w:ascii="Times New Roman" w:hAnsi="Times New Roman"/>
          <w:sz w:val="28"/>
          <w:szCs w:val="28"/>
        </w:rPr>
        <w:t>%)</w:t>
      </w:r>
      <w:r w:rsidR="00E07514">
        <w:rPr>
          <w:rFonts w:ascii="Times New Roman" w:hAnsi="Times New Roman"/>
          <w:sz w:val="28"/>
          <w:szCs w:val="28"/>
        </w:rPr>
        <w:t>. Уменьшен плановый объем по прочим субсидиям на 458,0 тыс. рублей (субсидии, выделенные на организацию уличного освещения), прочие безвозмездные поступления (денежные пожертвования физических лиц) увеличены на 0,1 тыс. рублей.</w:t>
      </w:r>
      <w:r w:rsidR="00A9156B">
        <w:rPr>
          <w:rFonts w:ascii="Times New Roman" w:hAnsi="Times New Roman"/>
          <w:sz w:val="28"/>
          <w:szCs w:val="28"/>
        </w:rPr>
        <w:t xml:space="preserve"> Общий объем безвозмездных поступлений составит </w:t>
      </w:r>
      <w:r w:rsidR="008E0738">
        <w:rPr>
          <w:rFonts w:ascii="Times New Roman" w:hAnsi="Times New Roman"/>
          <w:sz w:val="28"/>
          <w:szCs w:val="28"/>
        </w:rPr>
        <w:t xml:space="preserve">5767,7 тыс. рублей. </w:t>
      </w:r>
      <w:r w:rsidR="00A9156B">
        <w:rPr>
          <w:rFonts w:ascii="Times New Roman" w:hAnsi="Times New Roman"/>
          <w:sz w:val="28"/>
          <w:szCs w:val="28"/>
        </w:rPr>
        <w:t>Доля безвозмездных поступлений в общем объеме доходов поселения – 78,</w:t>
      </w:r>
      <w:r w:rsidR="008E0738">
        <w:rPr>
          <w:rFonts w:ascii="Times New Roman" w:hAnsi="Times New Roman"/>
          <w:sz w:val="28"/>
          <w:szCs w:val="28"/>
        </w:rPr>
        <w:t>1</w:t>
      </w:r>
      <w:r w:rsidR="00A9156B">
        <w:rPr>
          <w:rFonts w:ascii="Times New Roman" w:hAnsi="Times New Roman"/>
          <w:sz w:val="28"/>
          <w:szCs w:val="28"/>
        </w:rPr>
        <w:t xml:space="preserve"> %, доля налоговых и неналоговых доходов – 2</w:t>
      </w:r>
      <w:r w:rsidR="00E774BA">
        <w:rPr>
          <w:rFonts w:ascii="Times New Roman" w:hAnsi="Times New Roman"/>
          <w:sz w:val="28"/>
          <w:szCs w:val="28"/>
        </w:rPr>
        <w:t>1,</w:t>
      </w:r>
      <w:r w:rsidR="008E0738">
        <w:rPr>
          <w:rFonts w:ascii="Times New Roman" w:hAnsi="Times New Roman"/>
          <w:sz w:val="28"/>
          <w:szCs w:val="28"/>
        </w:rPr>
        <w:t>9</w:t>
      </w:r>
      <w:r w:rsidR="00A9156B">
        <w:rPr>
          <w:rFonts w:ascii="Times New Roman" w:hAnsi="Times New Roman"/>
          <w:sz w:val="28"/>
          <w:szCs w:val="28"/>
        </w:rPr>
        <w:t xml:space="preserve"> %. </w:t>
      </w:r>
    </w:p>
    <w:p w:rsidR="008E0738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Расходная часть бюджета </w:t>
      </w:r>
      <w:r w:rsidR="008E0738">
        <w:rPr>
          <w:rFonts w:ascii="Times New Roman" w:hAnsi="Times New Roman"/>
          <w:sz w:val="28"/>
          <w:szCs w:val="28"/>
        </w:rPr>
        <w:t>сократится на сумму уменьшения доходной части – 457,9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E0738">
        <w:rPr>
          <w:rFonts w:ascii="Times New Roman" w:hAnsi="Times New Roman"/>
          <w:sz w:val="28"/>
          <w:szCs w:val="28"/>
        </w:rPr>
        <w:t>1,8</w:t>
      </w:r>
      <w:r>
        <w:rPr>
          <w:rFonts w:ascii="Times New Roman" w:hAnsi="Times New Roman"/>
          <w:sz w:val="28"/>
          <w:szCs w:val="28"/>
        </w:rPr>
        <w:t xml:space="preserve"> % и составит </w:t>
      </w:r>
      <w:r w:rsidR="008E0738">
        <w:rPr>
          <w:rFonts w:ascii="Times New Roman" w:hAnsi="Times New Roman"/>
          <w:sz w:val="28"/>
          <w:szCs w:val="28"/>
        </w:rPr>
        <w:t>24650,6</w:t>
      </w:r>
      <w:r>
        <w:rPr>
          <w:rFonts w:ascii="Times New Roman" w:hAnsi="Times New Roman"/>
          <w:sz w:val="28"/>
          <w:szCs w:val="28"/>
        </w:rPr>
        <w:t xml:space="preserve"> тыс. рублей.   </w:t>
      </w:r>
    </w:p>
    <w:p w:rsidR="00FC2292" w:rsidRDefault="008E07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156B">
        <w:rPr>
          <w:rFonts w:ascii="Times New Roman" w:hAnsi="Times New Roman"/>
          <w:sz w:val="28"/>
          <w:szCs w:val="28"/>
        </w:rPr>
        <w:t xml:space="preserve">  </w:t>
      </w:r>
      <w:r w:rsidR="002A31C9">
        <w:rPr>
          <w:rFonts w:ascii="Times New Roman" w:hAnsi="Times New Roman"/>
          <w:sz w:val="28"/>
          <w:szCs w:val="28"/>
        </w:rPr>
        <w:t xml:space="preserve"> </w:t>
      </w:r>
      <w:r w:rsidR="00A915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9156B">
        <w:rPr>
          <w:rFonts w:ascii="Times New Roman" w:hAnsi="Times New Roman"/>
          <w:sz w:val="28"/>
          <w:szCs w:val="28"/>
        </w:rPr>
        <w:t xml:space="preserve">Бюджет поселения бездефицитный. </w:t>
      </w:r>
    </w:p>
    <w:p w:rsidR="00C031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A31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Изменения, внесенные в расходную часть бюджета на 2023 год, в разрезе разделов, подразделов приведены в Приложении 1 к Заключению.</w:t>
      </w:r>
    </w:p>
    <w:p w:rsidR="008E0738" w:rsidRDefault="00C03192" w:rsidP="008E073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предлагается </w:t>
      </w:r>
      <w:r w:rsidR="00A20115">
        <w:rPr>
          <w:rFonts w:ascii="Times New Roman" w:hAnsi="Times New Roman"/>
          <w:sz w:val="28"/>
          <w:szCs w:val="28"/>
        </w:rPr>
        <w:t xml:space="preserve">объем расходов по разделу 01 </w:t>
      </w:r>
      <w:r w:rsidR="00A20115" w:rsidRPr="0046731A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="00A20115">
        <w:rPr>
          <w:rFonts w:ascii="Times New Roman" w:hAnsi="Times New Roman"/>
          <w:sz w:val="28"/>
          <w:szCs w:val="28"/>
        </w:rPr>
        <w:t xml:space="preserve"> у</w:t>
      </w:r>
      <w:r w:rsidR="008E0738">
        <w:rPr>
          <w:rFonts w:ascii="Times New Roman" w:hAnsi="Times New Roman"/>
          <w:sz w:val="28"/>
          <w:szCs w:val="28"/>
        </w:rPr>
        <w:t xml:space="preserve">меньшить </w:t>
      </w:r>
      <w:r w:rsidR="00A20115">
        <w:rPr>
          <w:rFonts w:ascii="Times New Roman" w:hAnsi="Times New Roman"/>
          <w:sz w:val="28"/>
          <w:szCs w:val="28"/>
        </w:rPr>
        <w:t xml:space="preserve">на </w:t>
      </w:r>
      <w:r w:rsidR="008E0738">
        <w:rPr>
          <w:rFonts w:ascii="Times New Roman" w:hAnsi="Times New Roman"/>
          <w:sz w:val="28"/>
          <w:szCs w:val="28"/>
        </w:rPr>
        <w:t>17,2</w:t>
      </w:r>
      <w:r w:rsidR="00A20115">
        <w:rPr>
          <w:rFonts w:ascii="Times New Roman" w:hAnsi="Times New Roman"/>
          <w:sz w:val="28"/>
          <w:szCs w:val="28"/>
        </w:rPr>
        <w:t xml:space="preserve"> тыс. рублей</w:t>
      </w:r>
      <w:r w:rsidR="008E0738">
        <w:rPr>
          <w:rFonts w:ascii="Times New Roman" w:hAnsi="Times New Roman"/>
          <w:sz w:val="28"/>
          <w:szCs w:val="28"/>
        </w:rPr>
        <w:t>.</w:t>
      </w:r>
    </w:p>
    <w:p w:rsidR="008E0738" w:rsidRDefault="003C19C5" w:rsidP="001F20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0115">
        <w:rPr>
          <w:rFonts w:ascii="Times New Roman" w:hAnsi="Times New Roman"/>
          <w:sz w:val="28"/>
          <w:szCs w:val="28"/>
        </w:rPr>
        <w:t xml:space="preserve">       </w:t>
      </w:r>
      <w:r w:rsidR="008E0738" w:rsidRPr="006C6552">
        <w:rPr>
          <w:rFonts w:ascii="Times New Roman" w:hAnsi="Times New Roman"/>
          <w:sz w:val="28"/>
          <w:szCs w:val="28"/>
        </w:rPr>
        <w:t>По подразделу</w:t>
      </w:r>
      <w:r w:rsidR="008E0738">
        <w:rPr>
          <w:rFonts w:ascii="Times New Roman" w:hAnsi="Times New Roman"/>
          <w:sz w:val="28"/>
          <w:szCs w:val="28"/>
        </w:rPr>
        <w:t xml:space="preserve"> </w:t>
      </w:r>
      <w:r w:rsidR="008E0738" w:rsidRPr="00D148E0">
        <w:rPr>
          <w:rFonts w:ascii="Times New Roman" w:hAnsi="Times New Roman"/>
          <w:i/>
          <w:sz w:val="28"/>
          <w:szCs w:val="28"/>
        </w:rPr>
        <w:t>0111 «Резервные фонды»</w:t>
      </w:r>
      <w:r w:rsidR="008E0738" w:rsidRPr="00D148E0">
        <w:rPr>
          <w:rFonts w:ascii="Times New Roman" w:hAnsi="Times New Roman"/>
          <w:sz w:val="28"/>
          <w:szCs w:val="28"/>
        </w:rPr>
        <w:t xml:space="preserve"> предлагается исключить расходы (отсутствие потребности в расходах) на создание </w:t>
      </w:r>
      <w:r w:rsidR="008E0738">
        <w:rPr>
          <w:rFonts w:ascii="Times New Roman" w:hAnsi="Times New Roman"/>
          <w:sz w:val="28"/>
          <w:szCs w:val="28"/>
        </w:rPr>
        <w:t>р</w:t>
      </w:r>
      <w:r w:rsidR="008E0738" w:rsidRPr="00D148E0">
        <w:rPr>
          <w:rFonts w:ascii="Times New Roman" w:hAnsi="Times New Roman"/>
          <w:sz w:val="28"/>
          <w:szCs w:val="28"/>
        </w:rPr>
        <w:t xml:space="preserve">езервного фонда </w:t>
      </w:r>
      <w:r w:rsidR="008E0738">
        <w:rPr>
          <w:rFonts w:ascii="Times New Roman" w:hAnsi="Times New Roman"/>
          <w:sz w:val="28"/>
          <w:szCs w:val="28"/>
        </w:rPr>
        <w:t>а</w:t>
      </w:r>
      <w:r w:rsidR="008E0738" w:rsidRPr="00D148E0">
        <w:rPr>
          <w:rFonts w:ascii="Times New Roman" w:hAnsi="Times New Roman"/>
          <w:sz w:val="28"/>
          <w:szCs w:val="28"/>
        </w:rPr>
        <w:t>дминистрации пос</w:t>
      </w:r>
      <w:r w:rsidR="008E0738">
        <w:rPr>
          <w:rFonts w:ascii="Times New Roman" w:hAnsi="Times New Roman"/>
          <w:sz w:val="28"/>
          <w:szCs w:val="28"/>
        </w:rPr>
        <w:t xml:space="preserve">еления в сумме 10,0 тыс. рублей. </w:t>
      </w:r>
      <w:r w:rsidR="000A6571">
        <w:rPr>
          <w:rFonts w:ascii="Times New Roman" w:hAnsi="Times New Roman"/>
          <w:sz w:val="28"/>
          <w:szCs w:val="28"/>
        </w:rPr>
        <w:t xml:space="preserve">Размер резервного фонда составит 0,0 тыс. рублей. Соответствующие изменения внесены в подпункт 1 пункта 7 решения Совета сельского поселения Девятинское </w:t>
      </w:r>
      <w:r w:rsidR="000A6571">
        <w:rPr>
          <w:rFonts w:ascii="Times New Roman" w:hAnsi="Times New Roman"/>
          <w:sz w:val="28"/>
          <w:szCs w:val="28"/>
        </w:rPr>
        <w:t>от 23.12.2022 года № 16 «О бюджете сельского поселения Девятинское на 2023 год и плановый период 2024 и 2025 годов»</w:t>
      </w:r>
      <w:r w:rsidR="000A6571">
        <w:rPr>
          <w:rFonts w:ascii="Times New Roman" w:hAnsi="Times New Roman"/>
          <w:sz w:val="28"/>
          <w:szCs w:val="28"/>
        </w:rPr>
        <w:t>.</w:t>
      </w:r>
      <w:r w:rsidR="008E0738">
        <w:rPr>
          <w:rFonts w:ascii="Times New Roman" w:hAnsi="Times New Roman"/>
          <w:sz w:val="28"/>
          <w:szCs w:val="28"/>
        </w:rPr>
        <w:t xml:space="preserve">   </w:t>
      </w:r>
    </w:p>
    <w:p w:rsidR="00A20115" w:rsidRPr="003C19C5" w:rsidRDefault="003C19C5" w:rsidP="008E073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</w:t>
      </w:r>
      <w:r w:rsidRPr="003C19C5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Pr="003C19C5">
        <w:rPr>
          <w:rFonts w:ascii="Times New Roman" w:hAnsi="Times New Roman"/>
          <w:sz w:val="28"/>
          <w:szCs w:val="28"/>
        </w:rPr>
        <w:t xml:space="preserve">расходы </w:t>
      </w:r>
      <w:r>
        <w:rPr>
          <w:rFonts w:ascii="Times New Roman" w:hAnsi="Times New Roman"/>
          <w:sz w:val="28"/>
          <w:szCs w:val="28"/>
        </w:rPr>
        <w:t xml:space="preserve">уменьшатся на </w:t>
      </w:r>
      <w:r w:rsidR="001F20AB">
        <w:rPr>
          <w:rFonts w:ascii="Times New Roman" w:hAnsi="Times New Roman"/>
          <w:sz w:val="28"/>
          <w:szCs w:val="28"/>
        </w:rPr>
        <w:t>7,2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3C19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на содержание муниципальной казны увеличатся на </w:t>
      </w:r>
      <w:r w:rsidR="001F20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,0 тыс. рублей, на выполнение других обязательств государства уменьшатся на </w:t>
      </w:r>
      <w:r w:rsidR="001F20AB">
        <w:rPr>
          <w:rFonts w:ascii="Times New Roman" w:hAnsi="Times New Roman"/>
          <w:sz w:val="28"/>
          <w:szCs w:val="28"/>
        </w:rPr>
        <w:t>10,2 тыс. рублей.</w:t>
      </w:r>
    </w:p>
    <w:p w:rsidR="001F20AB" w:rsidRDefault="003C19C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46731A" w:rsidRPr="0046731A">
        <w:rPr>
          <w:rFonts w:ascii="Times New Roman" w:hAnsi="Times New Roman"/>
          <w:sz w:val="28"/>
          <w:szCs w:val="28"/>
        </w:rPr>
        <w:t>По разделу 05</w:t>
      </w:r>
      <w:r w:rsidR="0046731A">
        <w:rPr>
          <w:rFonts w:ascii="Times New Roman" w:hAnsi="Times New Roman"/>
          <w:i/>
          <w:sz w:val="28"/>
          <w:szCs w:val="28"/>
        </w:rPr>
        <w:t xml:space="preserve"> </w:t>
      </w:r>
      <w:r w:rsidR="0046731A" w:rsidRPr="0046731A">
        <w:rPr>
          <w:rFonts w:ascii="Times New Roman" w:hAnsi="Times New Roman"/>
          <w:b/>
          <w:sz w:val="28"/>
          <w:szCs w:val="28"/>
        </w:rPr>
        <w:t>«Жилищно – коммунальное хозяйство»</w:t>
      </w:r>
      <w:r w:rsidR="0046731A">
        <w:rPr>
          <w:rFonts w:ascii="Times New Roman" w:hAnsi="Times New Roman"/>
          <w:i/>
          <w:sz w:val="28"/>
          <w:szCs w:val="28"/>
        </w:rPr>
        <w:t xml:space="preserve"> </w:t>
      </w:r>
      <w:r w:rsidR="0046731A" w:rsidRPr="0046731A">
        <w:rPr>
          <w:rFonts w:ascii="Times New Roman" w:hAnsi="Times New Roman"/>
          <w:sz w:val="28"/>
          <w:szCs w:val="28"/>
        </w:rPr>
        <w:t>объем бюджетных ассигнований планируется у</w:t>
      </w:r>
      <w:r w:rsidR="001F20AB">
        <w:rPr>
          <w:rFonts w:ascii="Times New Roman" w:hAnsi="Times New Roman"/>
          <w:sz w:val="28"/>
          <w:szCs w:val="28"/>
        </w:rPr>
        <w:t xml:space="preserve">меньшить </w:t>
      </w:r>
      <w:r w:rsidR="0046731A" w:rsidRPr="0046731A">
        <w:rPr>
          <w:rFonts w:ascii="Times New Roman" w:hAnsi="Times New Roman"/>
          <w:sz w:val="28"/>
          <w:szCs w:val="28"/>
        </w:rPr>
        <w:t xml:space="preserve">на </w:t>
      </w:r>
      <w:r w:rsidR="001F20AB">
        <w:rPr>
          <w:rFonts w:ascii="Times New Roman" w:hAnsi="Times New Roman"/>
          <w:sz w:val="28"/>
          <w:szCs w:val="28"/>
        </w:rPr>
        <w:t>429,8</w:t>
      </w:r>
      <w:r w:rsidR="0046731A" w:rsidRPr="0046731A">
        <w:rPr>
          <w:rFonts w:ascii="Times New Roman" w:hAnsi="Times New Roman"/>
          <w:sz w:val="28"/>
          <w:szCs w:val="28"/>
        </w:rPr>
        <w:t xml:space="preserve"> тыс. рублей</w:t>
      </w:r>
      <w:r w:rsidR="001F20AB">
        <w:rPr>
          <w:rFonts w:ascii="Times New Roman" w:hAnsi="Times New Roman"/>
          <w:sz w:val="28"/>
          <w:szCs w:val="28"/>
        </w:rPr>
        <w:t xml:space="preserve">. </w:t>
      </w:r>
    </w:p>
    <w:p w:rsidR="001F20AB" w:rsidRDefault="001F20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уменьшатся по подразделу 0503 </w:t>
      </w:r>
      <w:r w:rsidRPr="00D23B8F">
        <w:rPr>
          <w:rFonts w:ascii="Times New Roman" w:hAnsi="Times New Roman"/>
          <w:i/>
          <w:sz w:val="28"/>
          <w:szCs w:val="28"/>
        </w:rPr>
        <w:t>«Благоустройство»,</w:t>
      </w:r>
      <w:r>
        <w:rPr>
          <w:rFonts w:ascii="Times New Roman" w:hAnsi="Times New Roman"/>
          <w:sz w:val="28"/>
          <w:szCs w:val="28"/>
        </w:rPr>
        <w:t xml:space="preserve"> в том числе</w:t>
      </w:r>
      <w:r w:rsidRPr="001F20A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организацию и содержание мест захоронения на 47,2 тыс. рублей, на прочие мероприятия по благоустройству на 209,2 тыс. рублей,</w:t>
      </w:r>
      <w:r w:rsidRPr="001F2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организацию уличного освещения на 173,4 тыс. рублей, при этом расходы за счет средств поселения увеличатся на 284,6 тыс. рублей, за счет субсидии из областного бюджета уменьшатся на 458,0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23B8F" w:rsidRPr="00D23B8F" w:rsidRDefault="00D23B8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08 </w:t>
      </w:r>
      <w:r w:rsidRPr="00D23B8F">
        <w:rPr>
          <w:rFonts w:ascii="Times New Roman" w:hAnsi="Times New Roman"/>
          <w:b/>
          <w:sz w:val="28"/>
          <w:szCs w:val="28"/>
        </w:rPr>
        <w:t xml:space="preserve">«Культура, кинематография» </w:t>
      </w:r>
      <w:r w:rsidRPr="00D23B8F">
        <w:rPr>
          <w:rFonts w:ascii="Times New Roman" w:hAnsi="Times New Roman"/>
          <w:sz w:val="28"/>
          <w:szCs w:val="28"/>
        </w:rPr>
        <w:t xml:space="preserve">расходы сократятся на 15,9 тыс. рублей. </w:t>
      </w:r>
      <w:r>
        <w:rPr>
          <w:rFonts w:ascii="Times New Roman" w:hAnsi="Times New Roman"/>
          <w:sz w:val="28"/>
          <w:szCs w:val="28"/>
        </w:rPr>
        <w:t xml:space="preserve">Предлагается исключить расходы на прочие мероприятия в сфере культуры по подразделу 0804 </w:t>
      </w:r>
      <w:r w:rsidRPr="00D23B8F">
        <w:rPr>
          <w:rFonts w:ascii="Times New Roman" w:hAnsi="Times New Roman"/>
          <w:i/>
          <w:sz w:val="28"/>
          <w:szCs w:val="28"/>
        </w:rPr>
        <w:t>«Другие вопросы в области культуры, кинематографии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D23B8F">
        <w:rPr>
          <w:rFonts w:ascii="Times New Roman" w:hAnsi="Times New Roman"/>
          <w:sz w:val="28"/>
          <w:szCs w:val="28"/>
        </w:rPr>
        <w:t>в сумме 15,9 тыс. рублей.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1F20AB" w:rsidRPr="001F20AB" w:rsidRDefault="001F20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10 «</w:t>
      </w:r>
      <w:r w:rsidRPr="001F20AB">
        <w:rPr>
          <w:rFonts w:ascii="Times New Roman" w:hAnsi="Times New Roman"/>
          <w:b/>
          <w:sz w:val="28"/>
          <w:szCs w:val="28"/>
        </w:rPr>
        <w:t xml:space="preserve">Социальная политика» </w:t>
      </w:r>
      <w:r w:rsidRPr="001F20AB">
        <w:rPr>
          <w:rFonts w:ascii="Times New Roman" w:hAnsi="Times New Roman"/>
          <w:sz w:val="28"/>
          <w:szCs w:val="28"/>
        </w:rPr>
        <w:t xml:space="preserve">объем бюджетных ассигнований предлагается </w:t>
      </w:r>
      <w:r>
        <w:rPr>
          <w:rFonts w:ascii="Times New Roman" w:hAnsi="Times New Roman"/>
          <w:sz w:val="28"/>
          <w:szCs w:val="28"/>
        </w:rPr>
        <w:t>увеличить на 5,0 тыс. рублей</w:t>
      </w:r>
      <w:r w:rsidR="00D23B8F">
        <w:rPr>
          <w:rFonts w:ascii="Times New Roman" w:hAnsi="Times New Roman"/>
          <w:sz w:val="28"/>
          <w:szCs w:val="28"/>
        </w:rPr>
        <w:t xml:space="preserve">. Увеличение произойдет по подразделу 1003 «Социальное обеспечение населения» на социальные выплаты гражданам.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Проектом решения внесены изменения в финансирование муниципальной программы «Благоустройство территории сельского поселения Девятинское на 2021-2025 годы» на 2023 год. Общий объем средств, направляемый на реализацию муниципальной программы, у</w:t>
      </w:r>
      <w:r w:rsidR="00D23B8F">
        <w:rPr>
          <w:rFonts w:ascii="Times New Roman" w:hAnsi="Times New Roman"/>
          <w:sz w:val="28"/>
          <w:szCs w:val="28"/>
        </w:rPr>
        <w:t>меньшится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23B8F">
        <w:rPr>
          <w:rFonts w:ascii="Times New Roman" w:hAnsi="Times New Roman"/>
          <w:sz w:val="28"/>
          <w:szCs w:val="28"/>
        </w:rPr>
        <w:t>429,8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D23B8F">
        <w:rPr>
          <w:rFonts w:ascii="Times New Roman" w:hAnsi="Times New Roman"/>
          <w:sz w:val="28"/>
          <w:szCs w:val="28"/>
        </w:rPr>
        <w:t>- 4,3 %</w:t>
      </w:r>
      <w:r>
        <w:rPr>
          <w:rFonts w:ascii="Times New Roman" w:hAnsi="Times New Roman"/>
          <w:sz w:val="28"/>
          <w:szCs w:val="28"/>
        </w:rPr>
        <w:t xml:space="preserve">) и составит в 2023 году </w:t>
      </w:r>
      <w:r w:rsidR="00D23B8F">
        <w:rPr>
          <w:rFonts w:ascii="Times New Roman" w:hAnsi="Times New Roman"/>
          <w:sz w:val="28"/>
          <w:szCs w:val="28"/>
        </w:rPr>
        <w:t>9523,1</w:t>
      </w:r>
      <w:r>
        <w:rPr>
          <w:rFonts w:ascii="Times New Roman" w:hAnsi="Times New Roman"/>
          <w:sz w:val="28"/>
          <w:szCs w:val="28"/>
        </w:rPr>
        <w:t xml:space="preserve"> тыс. рублей, или </w:t>
      </w:r>
      <w:r w:rsidR="00D23B8F">
        <w:rPr>
          <w:rFonts w:ascii="Times New Roman" w:hAnsi="Times New Roman"/>
          <w:sz w:val="28"/>
          <w:szCs w:val="28"/>
        </w:rPr>
        <w:t xml:space="preserve">38,6 </w:t>
      </w:r>
      <w:r>
        <w:rPr>
          <w:rFonts w:ascii="Times New Roman" w:hAnsi="Times New Roman"/>
          <w:sz w:val="28"/>
          <w:szCs w:val="28"/>
        </w:rPr>
        <w:t xml:space="preserve">% от общего объема расходов бюджета поселения на 2023 год. </w:t>
      </w:r>
    </w:p>
    <w:p w:rsidR="00FC2292" w:rsidRDefault="00A915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от 23.12.2022 года № 16 «О бюджете сельского поселения Девятинское на 2023 год и плановый период 2024 и 2025 годов».</w:t>
      </w:r>
    </w:p>
    <w:p w:rsidR="00FC2292" w:rsidRDefault="00A9156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FC2292" w:rsidRDefault="00A9156B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Выводы и предложения.</w:t>
      </w:r>
    </w:p>
    <w:p w:rsidR="006061FC" w:rsidRDefault="00A9156B" w:rsidP="006061F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Представленный проект решения Совета сельского поселения Девятинское «О внесении изменений в решение Совета сельского поселения Девятинское от 23.12.2022 № 16»</w:t>
      </w:r>
      <w:r>
        <w:rPr>
          <w:rFonts w:ascii="Times New Roman" w:hAnsi="Times New Roman"/>
          <w:b/>
          <w:sz w:val="28"/>
          <w:szCs w:val="28"/>
        </w:rPr>
        <w:t xml:space="preserve"> соответствует </w:t>
      </w:r>
      <w:r>
        <w:rPr>
          <w:rFonts w:ascii="Times New Roman" w:hAnsi="Times New Roman"/>
          <w:sz w:val="28"/>
          <w:szCs w:val="28"/>
        </w:rPr>
        <w:t xml:space="preserve">требованиям бюджетного законодательства. </w:t>
      </w:r>
      <w:r w:rsidR="006061FC" w:rsidRPr="006061FC">
        <w:rPr>
          <w:rFonts w:ascii="Times New Roman" w:hAnsi="Times New Roman"/>
          <w:sz w:val="28"/>
          <w:szCs w:val="28"/>
        </w:rPr>
        <w:t xml:space="preserve">Внесение изменений в решение о бюджете поселения является обоснованным. </w:t>
      </w:r>
    </w:p>
    <w:p w:rsidR="006061FC" w:rsidRPr="006061FC" w:rsidRDefault="006061FC" w:rsidP="006061F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61FC">
        <w:rPr>
          <w:rFonts w:ascii="Times New Roman" w:hAnsi="Times New Roman"/>
          <w:sz w:val="28"/>
          <w:szCs w:val="28"/>
        </w:rPr>
        <w:t xml:space="preserve">Ревизионная комиссия ВМР рекомендует представленный проект </w:t>
      </w:r>
      <w:r w:rsidRPr="006061FC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FC2292" w:rsidRDefault="00A9156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FC2292" w:rsidRDefault="00A9156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Аудитор Ревизионной комиссии                                                  О.Е. Нестерова </w:t>
      </w:r>
    </w:p>
    <w:sectPr w:rsidR="00FC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6C" w:rsidRDefault="00AA096C">
      <w:pPr>
        <w:spacing w:after="0" w:line="240" w:lineRule="auto"/>
      </w:pPr>
      <w:r>
        <w:separator/>
      </w:r>
    </w:p>
  </w:endnote>
  <w:endnote w:type="continuationSeparator" w:id="0">
    <w:p w:rsidR="00AA096C" w:rsidRDefault="00A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6C" w:rsidRDefault="00AA096C">
      <w:pPr>
        <w:spacing w:after="0" w:line="240" w:lineRule="auto"/>
      </w:pPr>
      <w:r>
        <w:separator/>
      </w:r>
    </w:p>
  </w:footnote>
  <w:footnote w:type="continuationSeparator" w:id="0">
    <w:p w:rsidR="00AA096C" w:rsidRDefault="00AA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D57"/>
    <w:multiLevelType w:val="hybridMultilevel"/>
    <w:tmpl w:val="DE061CC4"/>
    <w:lvl w:ilvl="0" w:tplc="D5E08C0A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790E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2E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C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AE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46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2A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A4A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29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94D"/>
    <w:multiLevelType w:val="hybridMultilevel"/>
    <w:tmpl w:val="CBD8DA42"/>
    <w:lvl w:ilvl="0" w:tplc="9C4EC43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AC9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A9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6C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80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2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5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5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AD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5249"/>
    <w:multiLevelType w:val="hybridMultilevel"/>
    <w:tmpl w:val="F4C24B04"/>
    <w:lvl w:ilvl="0" w:tplc="563E21EC">
      <w:start w:val="1"/>
      <w:numFmt w:val="decimal"/>
      <w:lvlText w:val="%1."/>
      <w:lvlJc w:val="left"/>
      <w:pPr>
        <w:ind w:left="644" w:hanging="360"/>
      </w:pPr>
    </w:lvl>
    <w:lvl w:ilvl="1" w:tplc="C2643094">
      <w:start w:val="1"/>
      <w:numFmt w:val="decimal"/>
      <w:lvlText w:val="%2)"/>
      <w:lvlJc w:val="left"/>
      <w:pPr>
        <w:ind w:left="928" w:hanging="360"/>
      </w:pPr>
    </w:lvl>
    <w:lvl w:ilvl="2" w:tplc="F2B0D32C">
      <w:start w:val="1"/>
      <w:numFmt w:val="bullet"/>
      <w:lvlText w:val=""/>
      <w:lvlJc w:val="left"/>
      <w:pPr>
        <w:ind w:left="606" w:hanging="180"/>
      </w:pPr>
      <w:rPr>
        <w:rFonts w:ascii="Symbol" w:hAnsi="Symbol"/>
      </w:rPr>
    </w:lvl>
    <w:lvl w:ilvl="3" w:tplc="D076DDD0">
      <w:start w:val="1"/>
      <w:numFmt w:val="decimal"/>
      <w:lvlText w:val="%4."/>
      <w:lvlJc w:val="left"/>
      <w:pPr>
        <w:ind w:left="4222" w:hanging="360"/>
      </w:pPr>
    </w:lvl>
    <w:lvl w:ilvl="4" w:tplc="F8602E36">
      <w:start w:val="1"/>
      <w:numFmt w:val="lowerLetter"/>
      <w:lvlText w:val="%5."/>
      <w:lvlJc w:val="left"/>
      <w:pPr>
        <w:ind w:left="4942" w:hanging="360"/>
      </w:pPr>
    </w:lvl>
    <w:lvl w:ilvl="5" w:tplc="55D68D68">
      <w:start w:val="1"/>
      <w:numFmt w:val="lowerRoman"/>
      <w:lvlText w:val="%6."/>
      <w:lvlJc w:val="right"/>
      <w:pPr>
        <w:ind w:left="5662" w:hanging="180"/>
      </w:pPr>
    </w:lvl>
    <w:lvl w:ilvl="6" w:tplc="5E2AF196">
      <w:start w:val="1"/>
      <w:numFmt w:val="decimal"/>
      <w:lvlText w:val="%7."/>
      <w:lvlJc w:val="left"/>
      <w:pPr>
        <w:ind w:left="6382" w:hanging="360"/>
      </w:pPr>
    </w:lvl>
    <w:lvl w:ilvl="7" w:tplc="C54444DA">
      <w:start w:val="1"/>
      <w:numFmt w:val="lowerLetter"/>
      <w:lvlText w:val="%8."/>
      <w:lvlJc w:val="left"/>
      <w:pPr>
        <w:ind w:left="7102" w:hanging="360"/>
      </w:pPr>
    </w:lvl>
    <w:lvl w:ilvl="8" w:tplc="BB4A74EE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92"/>
    <w:rsid w:val="000A6571"/>
    <w:rsid w:val="00116EF0"/>
    <w:rsid w:val="001F20AB"/>
    <w:rsid w:val="0022616F"/>
    <w:rsid w:val="0023595B"/>
    <w:rsid w:val="002A31C9"/>
    <w:rsid w:val="003C19C5"/>
    <w:rsid w:val="0046731A"/>
    <w:rsid w:val="004C10AC"/>
    <w:rsid w:val="006061FC"/>
    <w:rsid w:val="00654C98"/>
    <w:rsid w:val="006E1BDB"/>
    <w:rsid w:val="00794032"/>
    <w:rsid w:val="00797FDD"/>
    <w:rsid w:val="008E0738"/>
    <w:rsid w:val="0095737D"/>
    <w:rsid w:val="00A20115"/>
    <w:rsid w:val="00A9156B"/>
    <w:rsid w:val="00AA096C"/>
    <w:rsid w:val="00C03192"/>
    <w:rsid w:val="00CF1B61"/>
    <w:rsid w:val="00D23B8F"/>
    <w:rsid w:val="00D51AB1"/>
    <w:rsid w:val="00E07514"/>
    <w:rsid w:val="00E774BA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80FB-844C-4768-BCCD-DC1ADF4A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table" w:styleId="af2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2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1">
    <w:name w:val="blk1"/>
    <w:basedOn w:val="a0"/>
    <w:rPr>
      <w:vanish w:val="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Calibri" w:eastAsia="Times New Roman" w:hAnsi="Calibri" w:cs="Times New Roman"/>
      <w:b/>
      <w:bCs/>
      <w:sz w:val="20"/>
      <w:szCs w:val="20"/>
    </w:r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Calibri" w:eastAsia="Times New Roman" w:hAnsi="Calibri" w:cs="Times New Roman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Times New Roman"/>
    </w:rPr>
  </w:style>
  <w:style w:type="table" w:customStyle="1" w:styleId="25">
    <w:name w:val="Сетка таблицы2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6CE9-0205-4432-A3DE-E9753B91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102</cp:revision>
  <cp:lastPrinted>2023-12-15T10:38:00Z</cp:lastPrinted>
  <dcterms:created xsi:type="dcterms:W3CDTF">2018-05-17T09:59:00Z</dcterms:created>
  <dcterms:modified xsi:type="dcterms:W3CDTF">2023-12-15T10:39:00Z</dcterms:modified>
</cp:coreProperties>
</file>