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92" w:rsidRDefault="00A9156B">
      <w:pPr>
        <w:tabs>
          <w:tab w:val="left" w:pos="567"/>
        </w:tabs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1905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FC2292" w:rsidRDefault="00A9156B" w:rsidP="00654C98">
      <w:pPr>
        <w:spacing w:after="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FC2292" w:rsidRDefault="00A9156B" w:rsidP="00654C98">
      <w:pPr>
        <w:spacing w:after="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FC2292" w:rsidRDefault="00A9156B" w:rsidP="00654C98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FC2292" w:rsidRDefault="00A9156B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FC2292" w:rsidRDefault="00A915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C2292" w:rsidRDefault="00A9156B" w:rsidP="00654C98">
      <w:pPr>
        <w:tabs>
          <w:tab w:val="left" w:pos="567"/>
        </w:tabs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Девятинское </w:t>
      </w:r>
      <w:r w:rsidR="00654C98">
        <w:rPr>
          <w:rFonts w:ascii="Times New Roman" w:hAnsi="Times New Roman"/>
          <w:b/>
          <w:sz w:val="28"/>
          <w:szCs w:val="28"/>
        </w:rPr>
        <w:t>Вытегорского муниципального района Вологодской области</w:t>
      </w:r>
    </w:p>
    <w:p w:rsidR="00FC2292" w:rsidRDefault="00E774BA" w:rsidP="00654C9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A915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A9156B">
        <w:rPr>
          <w:rFonts w:ascii="Times New Roman" w:hAnsi="Times New Roman"/>
          <w:sz w:val="28"/>
          <w:szCs w:val="28"/>
        </w:rPr>
        <w:t>.2023 г.                                                                                г. Вытегра</w:t>
      </w:r>
    </w:p>
    <w:p w:rsidR="00FC2292" w:rsidRDefault="00A9156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Девятинское </w:t>
      </w:r>
      <w:r w:rsidR="00654C98" w:rsidRPr="00654C98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654C98">
        <w:rPr>
          <w:rFonts w:ascii="Times New Roman" w:hAnsi="Times New Roman"/>
          <w:sz w:val="28"/>
          <w:szCs w:val="28"/>
        </w:rPr>
        <w:t xml:space="preserve"> (далее - </w:t>
      </w:r>
      <w:r w:rsidR="00654C98">
        <w:rPr>
          <w:rFonts w:ascii="Times New Roman" w:hAnsi="Times New Roman"/>
          <w:sz w:val="28"/>
          <w:szCs w:val="28"/>
        </w:rPr>
        <w:t>Совета сельского поселения Девятинское</w:t>
      </w:r>
      <w:r w:rsidR="00654C9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Девятинское</w:t>
      </w:r>
      <w:r w:rsidR="00654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23.12.2022 № 16»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Вытегорского муниципального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района на 2023 год.    </w:t>
      </w:r>
      <w:r>
        <w:rPr>
          <w:sz w:val="28"/>
          <w:szCs w:val="28"/>
        </w:rPr>
        <w:t xml:space="preserve">        </w:t>
      </w:r>
    </w:p>
    <w:p w:rsidR="00FC2292" w:rsidRDefault="00A9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Девятинское от 23.12.2022 года № 16 «О бюджете сельского поселения Девятинское на 2023 год и плановый период 2024 и 2025 годов». </w:t>
      </w:r>
    </w:p>
    <w:p w:rsidR="00FC2292" w:rsidRDefault="00A9156B" w:rsidP="00E774BA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Предлагается внести изменения в доходную и расходную части бюджета поселения на 2023 год. </w:t>
      </w:r>
    </w:p>
    <w:p w:rsidR="00FC2292" w:rsidRDefault="00A9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показатели бюджета поселения на 2023 год приведены в таблице: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FC2292" w:rsidRPr="00E774BA">
        <w:trPr>
          <w:trHeight w:val="672"/>
        </w:trPr>
        <w:tc>
          <w:tcPr>
            <w:tcW w:w="3626" w:type="dxa"/>
            <w:noWrap/>
          </w:tcPr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23.12.22 № 16</w:t>
            </w:r>
            <w:r w:rsidR="00E774BA" w:rsidRPr="00E774BA"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677" w:type="dxa"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 xml:space="preserve">Изменение </w:t>
            </w:r>
          </w:p>
        </w:tc>
        <w:tc>
          <w:tcPr>
            <w:tcW w:w="110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CF1B61" w:rsidRPr="00E774BA" w:rsidTr="008E6B62">
        <w:trPr>
          <w:trHeight w:val="300"/>
        </w:trPr>
        <w:tc>
          <w:tcPr>
            <w:tcW w:w="3626" w:type="dxa"/>
            <w:noWrap/>
          </w:tcPr>
          <w:p w:rsidR="00CF1B61" w:rsidRPr="00E774BA" w:rsidRDefault="00CF1B61" w:rsidP="00CF1B6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24515,4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25108,5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+593,1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+2,4%</w:t>
            </w:r>
          </w:p>
        </w:tc>
      </w:tr>
      <w:tr w:rsidR="00CF1B61" w:rsidRPr="00E774BA" w:rsidTr="008E6B62">
        <w:trPr>
          <w:trHeight w:val="300"/>
        </w:trPr>
        <w:tc>
          <w:tcPr>
            <w:tcW w:w="3626" w:type="dxa"/>
            <w:noWrap/>
          </w:tcPr>
          <w:p w:rsidR="00CF1B61" w:rsidRPr="00E774BA" w:rsidRDefault="00CF1B61" w:rsidP="00CF1B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color w:val="000000"/>
                <w:sz w:val="18"/>
                <w:szCs w:val="18"/>
              </w:rPr>
              <w:t>5401,7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color w:val="000000"/>
                <w:sz w:val="18"/>
                <w:szCs w:val="18"/>
              </w:rPr>
              <w:t>5401,7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CF1B61" w:rsidRPr="00E774BA" w:rsidTr="008E6B62">
        <w:trPr>
          <w:trHeight w:val="300"/>
        </w:trPr>
        <w:tc>
          <w:tcPr>
            <w:tcW w:w="3626" w:type="dxa"/>
            <w:noWrap/>
          </w:tcPr>
          <w:p w:rsidR="00CF1B61" w:rsidRPr="00E774BA" w:rsidRDefault="00CF1B61" w:rsidP="00CF1B6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color w:val="000000"/>
                <w:sz w:val="18"/>
                <w:szCs w:val="18"/>
              </w:rPr>
              <w:t>19113,7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color w:val="000000"/>
                <w:sz w:val="18"/>
                <w:szCs w:val="18"/>
              </w:rPr>
              <w:t>19706,8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+593,1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B61" w:rsidRPr="00E774BA" w:rsidRDefault="00CF1B61" w:rsidP="00CF1B6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+3,1%</w:t>
            </w:r>
          </w:p>
        </w:tc>
      </w:tr>
      <w:tr w:rsidR="00FC2292" w:rsidRPr="00E774BA">
        <w:trPr>
          <w:trHeight w:val="300"/>
        </w:trPr>
        <w:tc>
          <w:tcPr>
            <w:tcW w:w="362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FC2292" w:rsidRPr="00E774BA" w:rsidRDefault="00E774BA" w:rsidP="00E774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24515,4</w:t>
            </w:r>
          </w:p>
        </w:tc>
        <w:tc>
          <w:tcPr>
            <w:tcW w:w="1677" w:type="dxa"/>
            <w:noWrap/>
          </w:tcPr>
          <w:p w:rsidR="00FC2292" w:rsidRPr="00E774BA" w:rsidRDefault="00E774BA" w:rsidP="00E774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25108,5</w:t>
            </w:r>
          </w:p>
        </w:tc>
        <w:tc>
          <w:tcPr>
            <w:tcW w:w="1259" w:type="dxa"/>
            <w:noWrap/>
          </w:tcPr>
          <w:p w:rsidR="00FC2292" w:rsidRPr="00E774BA" w:rsidRDefault="00A9156B" w:rsidP="00E774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E774BA">
              <w:rPr>
                <w:rFonts w:ascii="Times New Roman" w:hAnsi="Times New Roman"/>
                <w:b/>
                <w:sz w:val="18"/>
                <w:szCs w:val="18"/>
              </w:rPr>
              <w:t>593,1</w:t>
            </w:r>
          </w:p>
        </w:tc>
        <w:tc>
          <w:tcPr>
            <w:tcW w:w="1106" w:type="dxa"/>
            <w:noWrap/>
          </w:tcPr>
          <w:p w:rsidR="00FC2292" w:rsidRPr="00E774BA" w:rsidRDefault="00A9156B" w:rsidP="00E774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+2,</w:t>
            </w:r>
            <w:r w:rsidR="00E774B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FC2292" w:rsidRPr="00E774BA">
        <w:trPr>
          <w:trHeight w:val="300"/>
        </w:trPr>
        <w:tc>
          <w:tcPr>
            <w:tcW w:w="362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FC2292" w:rsidRPr="00E774BA" w:rsidRDefault="00A915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FC2292" w:rsidRPr="00E774BA" w:rsidRDefault="00A915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9" w:type="dxa"/>
            <w:noWrap/>
          </w:tcPr>
          <w:p w:rsidR="00FC2292" w:rsidRPr="00E774BA" w:rsidRDefault="00A915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6" w:type="dxa"/>
            <w:noWrap/>
          </w:tcPr>
          <w:p w:rsidR="00FC2292" w:rsidRPr="00E774BA" w:rsidRDefault="00FC2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774BA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плановый объем доходов бюджета в 2023 году увеличится на </w:t>
      </w:r>
      <w:r w:rsidR="00E774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93,1 тыс. рублей (+2,</w:t>
      </w:r>
      <w:r w:rsidR="00E774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%) и составит 2</w:t>
      </w:r>
      <w:r w:rsidR="00E774BA">
        <w:rPr>
          <w:rFonts w:ascii="Times New Roman" w:hAnsi="Times New Roman"/>
          <w:sz w:val="28"/>
          <w:szCs w:val="28"/>
        </w:rPr>
        <w:t>5108,5</w:t>
      </w:r>
      <w:r>
        <w:rPr>
          <w:rFonts w:ascii="Times New Roman" w:hAnsi="Times New Roman"/>
          <w:sz w:val="28"/>
          <w:szCs w:val="28"/>
        </w:rPr>
        <w:t xml:space="preserve"> тыс. рублей. План поступлений </w:t>
      </w:r>
    </w:p>
    <w:p w:rsidR="00FC22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налоговых и неналоговых доходов останется без изменений и составит 5401,7 тыс. рублей. Объем безвозмездных поступлений увеличится на </w:t>
      </w:r>
      <w:r w:rsidR="00E774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93,1 тыс. рублей (+2</w:t>
      </w:r>
      <w:r w:rsidR="00E774BA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>%)</w:t>
      </w:r>
      <w:r w:rsidR="00E774BA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за счет </w:t>
      </w:r>
      <w:r w:rsidR="00E774BA">
        <w:rPr>
          <w:rFonts w:ascii="Times New Roman" w:hAnsi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/>
          <w:sz w:val="28"/>
          <w:szCs w:val="28"/>
        </w:rPr>
        <w:t xml:space="preserve">поступления </w:t>
      </w:r>
      <w:r w:rsidR="00E774BA">
        <w:rPr>
          <w:rFonts w:ascii="Times New Roman" w:hAnsi="Times New Roman"/>
          <w:sz w:val="28"/>
          <w:szCs w:val="28"/>
        </w:rPr>
        <w:t xml:space="preserve">дотаций на сбалансированность в сумме 100,0 тыс. рублей, </w:t>
      </w:r>
      <w:r>
        <w:rPr>
          <w:rFonts w:ascii="Times New Roman" w:hAnsi="Times New Roman"/>
          <w:sz w:val="28"/>
          <w:szCs w:val="28"/>
        </w:rPr>
        <w:t>прочих безвозмездных поступлений от негосударственных организаций</w:t>
      </w:r>
      <w:r w:rsidR="00E774BA">
        <w:rPr>
          <w:rFonts w:ascii="Times New Roman" w:hAnsi="Times New Roman"/>
          <w:sz w:val="28"/>
          <w:szCs w:val="28"/>
        </w:rPr>
        <w:t xml:space="preserve"> в сумме 493,1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 xml:space="preserve">Общий объем безвозмездных поступлений составит </w:t>
      </w:r>
      <w:r w:rsidR="00E774BA">
        <w:rPr>
          <w:rFonts w:ascii="Times New Roman" w:hAnsi="Times New Roman"/>
          <w:sz w:val="28"/>
          <w:szCs w:val="28"/>
        </w:rPr>
        <w:t>19706,8</w:t>
      </w:r>
      <w:r>
        <w:rPr>
          <w:rFonts w:ascii="Times New Roman" w:hAnsi="Times New Roman"/>
          <w:sz w:val="28"/>
          <w:szCs w:val="28"/>
        </w:rPr>
        <w:t xml:space="preserve"> тыс. рублей, в том числе</w:t>
      </w:r>
      <w:r w:rsidR="00E774BA" w:rsidRPr="00E774BA">
        <w:rPr>
          <w:rFonts w:ascii="Times New Roman" w:hAnsi="Times New Roman"/>
          <w:sz w:val="28"/>
          <w:szCs w:val="28"/>
        </w:rPr>
        <w:t>:</w:t>
      </w:r>
      <w:r w:rsidR="00E774BA">
        <w:rPr>
          <w:rFonts w:ascii="Times New Roman" w:hAnsi="Times New Roman"/>
          <w:sz w:val="28"/>
          <w:szCs w:val="28"/>
        </w:rPr>
        <w:t xml:space="preserve"> объем дотаций – 10156,9 тыс. рублей, </w:t>
      </w:r>
      <w:r>
        <w:rPr>
          <w:rFonts w:ascii="Times New Roman" w:hAnsi="Times New Roman"/>
          <w:sz w:val="28"/>
          <w:szCs w:val="28"/>
        </w:rPr>
        <w:t xml:space="preserve">объем безвозмездных поступлений от негосударственных организаций </w:t>
      </w:r>
      <w:r w:rsidR="00E774B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774BA">
        <w:rPr>
          <w:rFonts w:ascii="Times New Roman" w:hAnsi="Times New Roman"/>
          <w:sz w:val="28"/>
          <w:szCs w:val="28"/>
        </w:rPr>
        <w:t>2414,4</w:t>
      </w:r>
      <w:r>
        <w:rPr>
          <w:rFonts w:ascii="Times New Roman" w:hAnsi="Times New Roman"/>
          <w:sz w:val="28"/>
          <w:szCs w:val="28"/>
        </w:rPr>
        <w:t xml:space="preserve"> тыс. рублей. Доля безвозмездных поступлений в общем объеме доходов поселения – 78,</w:t>
      </w:r>
      <w:r w:rsidR="00E774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2</w:t>
      </w:r>
      <w:r w:rsidR="00E774BA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FC22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Расходная часть бюджета увеличится на </w:t>
      </w:r>
      <w:r w:rsidR="00E774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93,1 тыс. рублей, или на 2,</w:t>
      </w:r>
      <w:r w:rsidR="00E774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 и составит </w:t>
      </w:r>
      <w:r w:rsidR="00E774BA">
        <w:rPr>
          <w:rFonts w:ascii="Times New Roman" w:hAnsi="Times New Roman"/>
          <w:sz w:val="28"/>
          <w:szCs w:val="28"/>
        </w:rPr>
        <w:t>25108,5</w:t>
      </w:r>
      <w:r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поступающих безвозмездных поступлений. </w:t>
      </w:r>
    </w:p>
    <w:p w:rsidR="00FC22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A3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Бюджет поселения бездефицитный. </w:t>
      </w:r>
    </w:p>
    <w:p w:rsidR="00C031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A3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3C19C5" w:rsidRDefault="00C03192" w:rsidP="00A201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предлагается </w:t>
      </w:r>
      <w:r w:rsidR="00A20115">
        <w:rPr>
          <w:rFonts w:ascii="Times New Roman" w:hAnsi="Times New Roman"/>
          <w:sz w:val="28"/>
          <w:szCs w:val="28"/>
        </w:rPr>
        <w:t xml:space="preserve">объем расходов по разделу 01 </w:t>
      </w:r>
      <w:r w:rsidR="00A20115" w:rsidRPr="0046731A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="00A20115">
        <w:rPr>
          <w:rFonts w:ascii="Times New Roman" w:hAnsi="Times New Roman"/>
          <w:sz w:val="28"/>
          <w:szCs w:val="28"/>
        </w:rPr>
        <w:t xml:space="preserve"> увеличить на 223,9 тыс. рублей за счет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20115">
        <w:rPr>
          <w:rFonts w:ascii="Times New Roman" w:hAnsi="Times New Roman"/>
          <w:sz w:val="28"/>
          <w:szCs w:val="28"/>
        </w:rPr>
        <w:t>д</w:t>
      </w:r>
      <w:r w:rsidR="00A9156B">
        <w:rPr>
          <w:rFonts w:ascii="Times New Roman" w:hAnsi="Times New Roman"/>
          <w:sz w:val="28"/>
          <w:szCs w:val="28"/>
        </w:rPr>
        <w:t>ополнительно поступивши</w:t>
      </w:r>
      <w:r w:rsidR="00A20115">
        <w:rPr>
          <w:rFonts w:ascii="Times New Roman" w:hAnsi="Times New Roman"/>
          <w:sz w:val="28"/>
          <w:szCs w:val="28"/>
        </w:rPr>
        <w:t>х</w:t>
      </w:r>
      <w:r w:rsidR="00A9156B">
        <w:rPr>
          <w:rFonts w:ascii="Times New Roman" w:hAnsi="Times New Roman"/>
          <w:sz w:val="28"/>
          <w:szCs w:val="28"/>
        </w:rPr>
        <w:t xml:space="preserve"> </w:t>
      </w:r>
      <w:r w:rsidR="0095737D">
        <w:rPr>
          <w:rFonts w:ascii="Times New Roman" w:hAnsi="Times New Roman"/>
          <w:sz w:val="28"/>
          <w:szCs w:val="28"/>
        </w:rPr>
        <w:t>дотаци</w:t>
      </w:r>
      <w:r w:rsidR="00A20115">
        <w:rPr>
          <w:rFonts w:ascii="Times New Roman" w:hAnsi="Times New Roman"/>
          <w:sz w:val="28"/>
          <w:szCs w:val="28"/>
        </w:rPr>
        <w:t>й</w:t>
      </w:r>
      <w:r w:rsidR="0095737D">
        <w:rPr>
          <w:rFonts w:ascii="Times New Roman" w:hAnsi="Times New Roman"/>
          <w:sz w:val="28"/>
          <w:szCs w:val="28"/>
        </w:rPr>
        <w:t xml:space="preserve"> </w:t>
      </w:r>
      <w:r w:rsidR="002A31C9">
        <w:rPr>
          <w:rFonts w:ascii="Times New Roman" w:hAnsi="Times New Roman"/>
          <w:sz w:val="28"/>
          <w:szCs w:val="28"/>
        </w:rPr>
        <w:t xml:space="preserve">в сумме 100,0 тыс. рублей </w:t>
      </w:r>
      <w:r w:rsidR="00A20115">
        <w:rPr>
          <w:rFonts w:ascii="Times New Roman" w:hAnsi="Times New Roman"/>
          <w:sz w:val="28"/>
          <w:szCs w:val="28"/>
        </w:rPr>
        <w:t>и перераспределения бюджетных ассигнований в сумме 123,9 тыс. рублей с раздела 11 «Физическая культура и спорт» (подраздел 0111 «Физическая культура» «Мероприятия в области спорта и физической культуры»).</w:t>
      </w:r>
    </w:p>
    <w:p w:rsidR="00A20115" w:rsidRPr="00A20115" w:rsidRDefault="003C19C5" w:rsidP="00A201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0115">
        <w:rPr>
          <w:rFonts w:ascii="Times New Roman" w:hAnsi="Times New Roman"/>
          <w:sz w:val="28"/>
          <w:szCs w:val="28"/>
        </w:rPr>
        <w:t xml:space="preserve">        По подразделу </w:t>
      </w:r>
      <w:r w:rsidR="00A20115" w:rsidRPr="00A20115">
        <w:rPr>
          <w:rFonts w:ascii="Times New Roman" w:hAnsi="Times New Roman"/>
          <w:i/>
          <w:sz w:val="28"/>
          <w:szCs w:val="28"/>
        </w:rPr>
        <w:t>0102</w:t>
      </w:r>
      <w:r w:rsidR="00A20115" w:rsidRPr="00A20115">
        <w:rPr>
          <w:i/>
        </w:rPr>
        <w:t xml:space="preserve"> </w:t>
      </w:r>
      <w:r w:rsidR="00A20115">
        <w:rPr>
          <w:i/>
        </w:rPr>
        <w:t>«</w:t>
      </w:r>
      <w:r w:rsidR="00A20115" w:rsidRPr="00A20115">
        <w:rPr>
          <w:rFonts w:ascii="Times New Roman" w:hAnsi="Times New Roman"/>
          <w:i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A20115">
        <w:rPr>
          <w:rFonts w:ascii="Times New Roman" w:hAnsi="Times New Roman"/>
          <w:i/>
          <w:sz w:val="28"/>
          <w:szCs w:val="28"/>
        </w:rPr>
        <w:t xml:space="preserve">» </w:t>
      </w:r>
      <w:r w:rsidR="00A20115" w:rsidRPr="00A20115">
        <w:rPr>
          <w:rFonts w:ascii="Times New Roman" w:hAnsi="Times New Roman"/>
          <w:sz w:val="28"/>
          <w:szCs w:val="28"/>
        </w:rPr>
        <w:t xml:space="preserve">расходы уменьшатся </w:t>
      </w:r>
      <w:r w:rsidR="00A20115">
        <w:rPr>
          <w:rFonts w:ascii="Times New Roman" w:hAnsi="Times New Roman"/>
          <w:sz w:val="28"/>
          <w:szCs w:val="28"/>
        </w:rPr>
        <w:t xml:space="preserve">на 11,7 тыс. рублей (расходы на выплаты Главе). </w:t>
      </w:r>
    </w:p>
    <w:p w:rsidR="00A20115" w:rsidRDefault="00A20115" w:rsidP="003C19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A20115">
        <w:rPr>
          <w:rFonts w:ascii="Times New Roman" w:hAnsi="Times New Roman"/>
          <w:sz w:val="28"/>
          <w:szCs w:val="28"/>
        </w:rPr>
        <w:t>По подразделу</w:t>
      </w:r>
      <w:r w:rsidRPr="00A20115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A20115">
        <w:rPr>
          <w:rFonts w:ascii="Times New Roman" w:hAnsi="Times New Roman"/>
          <w:sz w:val="28"/>
          <w:szCs w:val="28"/>
        </w:rPr>
        <w:t xml:space="preserve">расходы планируется увеличить </w:t>
      </w:r>
      <w:r>
        <w:rPr>
          <w:rFonts w:ascii="Times New Roman" w:hAnsi="Times New Roman"/>
          <w:sz w:val="28"/>
          <w:szCs w:val="28"/>
        </w:rPr>
        <w:t>на 292,1 тыс. рублей</w:t>
      </w:r>
      <w:r w:rsidRPr="00A201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расходы на закупки товаров, работ, услуг увеличатся на 344,0 тыс. рублей, на уплату налогов, сборов и иных платежей уменьшатся на 63,6 тыс. рублей, на выплаты работникам, не являющимся муниципальными служащими, увеличатся на 11,7 тыс. рублей.  </w:t>
      </w:r>
    </w:p>
    <w:p w:rsidR="00A20115" w:rsidRPr="003C19C5" w:rsidRDefault="003C19C5" w:rsidP="00A201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подразделу </w:t>
      </w:r>
      <w:r w:rsidRPr="003C19C5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3C19C5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уменьшатся на 56,5 тыс. рублей</w:t>
      </w:r>
      <w:r w:rsidRPr="003C19C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 содержание муниципальной казны увеличатся на 1,0 тыс. рублей, на выполнение других обязательств государства уменьшатся на 60,0 тыс. рублей, утверждены расходы на погашение задолженности по исполнительным листам, судебным решениям в сумме 2,5 тыс. рублей. </w:t>
      </w:r>
    </w:p>
    <w:p w:rsidR="00FC2292" w:rsidRDefault="003C19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46731A" w:rsidRPr="0046731A">
        <w:rPr>
          <w:rFonts w:ascii="Times New Roman" w:hAnsi="Times New Roman"/>
          <w:sz w:val="28"/>
          <w:szCs w:val="28"/>
        </w:rPr>
        <w:t>По разделу 05</w:t>
      </w:r>
      <w:r w:rsidR="0046731A">
        <w:rPr>
          <w:rFonts w:ascii="Times New Roman" w:hAnsi="Times New Roman"/>
          <w:i/>
          <w:sz w:val="28"/>
          <w:szCs w:val="28"/>
        </w:rPr>
        <w:t xml:space="preserve"> </w:t>
      </w:r>
      <w:r w:rsidR="0046731A" w:rsidRPr="0046731A">
        <w:rPr>
          <w:rFonts w:ascii="Times New Roman" w:hAnsi="Times New Roman"/>
          <w:b/>
          <w:sz w:val="28"/>
          <w:szCs w:val="28"/>
        </w:rPr>
        <w:t>«Жилищно – коммунальное хозяйство»</w:t>
      </w:r>
      <w:r w:rsidR="0046731A">
        <w:rPr>
          <w:rFonts w:ascii="Times New Roman" w:hAnsi="Times New Roman"/>
          <w:i/>
          <w:sz w:val="28"/>
          <w:szCs w:val="28"/>
        </w:rPr>
        <w:t xml:space="preserve"> </w:t>
      </w:r>
      <w:r w:rsidR="0046731A" w:rsidRPr="0046731A">
        <w:rPr>
          <w:rFonts w:ascii="Times New Roman" w:hAnsi="Times New Roman"/>
          <w:sz w:val="28"/>
          <w:szCs w:val="28"/>
        </w:rPr>
        <w:t>объем бюджетных ассигнований планируется увеличить на 493,1 тыс. рублей</w:t>
      </w:r>
      <w:r w:rsidR="0046731A">
        <w:rPr>
          <w:rFonts w:ascii="Times New Roman" w:hAnsi="Times New Roman"/>
          <w:sz w:val="28"/>
          <w:szCs w:val="28"/>
        </w:rPr>
        <w:t xml:space="preserve"> за счет д</w:t>
      </w:r>
      <w:r w:rsidR="0046731A" w:rsidRPr="0046731A">
        <w:rPr>
          <w:rFonts w:ascii="Times New Roman" w:hAnsi="Times New Roman"/>
          <w:sz w:val="28"/>
          <w:szCs w:val="28"/>
        </w:rPr>
        <w:t xml:space="preserve">ополнительно </w:t>
      </w:r>
      <w:r w:rsidR="0046731A">
        <w:rPr>
          <w:rFonts w:ascii="Times New Roman" w:hAnsi="Times New Roman"/>
          <w:sz w:val="28"/>
          <w:szCs w:val="28"/>
        </w:rPr>
        <w:t>поступивших б</w:t>
      </w:r>
      <w:r w:rsidR="00A9156B">
        <w:rPr>
          <w:rFonts w:ascii="Times New Roman" w:hAnsi="Times New Roman"/>
          <w:sz w:val="28"/>
          <w:szCs w:val="28"/>
        </w:rPr>
        <w:t>езвозмездны</w:t>
      </w:r>
      <w:r w:rsidR="0046731A">
        <w:rPr>
          <w:rFonts w:ascii="Times New Roman" w:hAnsi="Times New Roman"/>
          <w:sz w:val="28"/>
          <w:szCs w:val="28"/>
        </w:rPr>
        <w:t>х</w:t>
      </w:r>
      <w:r w:rsidR="00A9156B">
        <w:rPr>
          <w:rFonts w:ascii="Times New Roman" w:hAnsi="Times New Roman"/>
          <w:sz w:val="28"/>
          <w:szCs w:val="28"/>
        </w:rPr>
        <w:t xml:space="preserve"> поступлени</w:t>
      </w:r>
      <w:r w:rsidR="0046731A">
        <w:rPr>
          <w:rFonts w:ascii="Times New Roman" w:hAnsi="Times New Roman"/>
          <w:sz w:val="28"/>
          <w:szCs w:val="28"/>
        </w:rPr>
        <w:t>й</w:t>
      </w:r>
      <w:r w:rsidR="00A9156B">
        <w:rPr>
          <w:rFonts w:ascii="Times New Roman" w:hAnsi="Times New Roman"/>
          <w:sz w:val="28"/>
          <w:szCs w:val="28"/>
        </w:rPr>
        <w:t xml:space="preserve"> о</w:t>
      </w:r>
      <w:r w:rsidR="0046731A">
        <w:rPr>
          <w:rFonts w:ascii="Times New Roman" w:hAnsi="Times New Roman"/>
          <w:sz w:val="28"/>
          <w:szCs w:val="28"/>
        </w:rPr>
        <w:t xml:space="preserve">т негосударственных организаций. Средства </w:t>
      </w:r>
      <w:r w:rsidR="00A9156B">
        <w:rPr>
          <w:rFonts w:ascii="Times New Roman" w:hAnsi="Times New Roman"/>
          <w:sz w:val="28"/>
          <w:szCs w:val="28"/>
        </w:rPr>
        <w:t xml:space="preserve">будут направлены на мероприятия по уборке мусора на территории поселения, расходы отражены по подразделу </w:t>
      </w:r>
      <w:r w:rsidR="00A9156B">
        <w:rPr>
          <w:rFonts w:ascii="Times New Roman" w:hAnsi="Times New Roman"/>
          <w:i/>
          <w:sz w:val="28"/>
          <w:szCs w:val="28"/>
        </w:rPr>
        <w:t>0503 «Благоустройство».</w:t>
      </w:r>
    </w:p>
    <w:p w:rsidR="0046731A" w:rsidRPr="0046731A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также предлагается произвести перераспределение бюджетных ассигнований между видами расходов </w:t>
      </w:r>
      <w:r w:rsidR="0046731A">
        <w:rPr>
          <w:rFonts w:ascii="Times New Roman" w:hAnsi="Times New Roman"/>
          <w:sz w:val="28"/>
          <w:szCs w:val="28"/>
        </w:rPr>
        <w:t xml:space="preserve">подраздела 0203 </w:t>
      </w:r>
      <w:r w:rsidR="0046731A" w:rsidRPr="0046731A">
        <w:rPr>
          <w:rFonts w:ascii="Times New Roman" w:hAnsi="Times New Roman"/>
          <w:i/>
          <w:sz w:val="28"/>
          <w:szCs w:val="28"/>
        </w:rPr>
        <w:t>«Мобилизационная и вневойсковая подготовка»</w:t>
      </w:r>
      <w:r w:rsidR="0046731A">
        <w:rPr>
          <w:rFonts w:ascii="Times New Roman" w:hAnsi="Times New Roman"/>
          <w:sz w:val="28"/>
          <w:szCs w:val="28"/>
        </w:rPr>
        <w:t xml:space="preserve"> раздела 02 «</w:t>
      </w:r>
      <w:r w:rsidR="0046731A" w:rsidRPr="0046731A">
        <w:rPr>
          <w:rFonts w:ascii="Times New Roman" w:hAnsi="Times New Roman"/>
          <w:b/>
          <w:sz w:val="28"/>
          <w:szCs w:val="28"/>
        </w:rPr>
        <w:t>Национальная оборона»:</w:t>
      </w:r>
      <w:r w:rsidR="0046731A">
        <w:rPr>
          <w:rFonts w:ascii="Times New Roman" w:hAnsi="Times New Roman"/>
          <w:b/>
          <w:sz w:val="28"/>
          <w:szCs w:val="28"/>
        </w:rPr>
        <w:t xml:space="preserve"> </w:t>
      </w:r>
      <w:r w:rsidR="0046731A" w:rsidRPr="0046731A">
        <w:rPr>
          <w:rFonts w:ascii="Times New Roman" w:hAnsi="Times New Roman"/>
          <w:sz w:val="28"/>
          <w:szCs w:val="28"/>
        </w:rPr>
        <w:t xml:space="preserve">на 7,0 тыс. рублей уменьшить </w:t>
      </w:r>
      <w:r w:rsidR="0046731A">
        <w:rPr>
          <w:rFonts w:ascii="Times New Roman" w:hAnsi="Times New Roman"/>
          <w:sz w:val="28"/>
          <w:szCs w:val="28"/>
        </w:rPr>
        <w:t xml:space="preserve">расходы на закупки товаров, работ, услуг, соответственно на 7,0 тыс. рублей увеличить расходы на выплаты персоналу. </w:t>
      </w:r>
    </w:p>
    <w:p w:rsidR="00FC2292" w:rsidRDefault="004673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9156B">
        <w:rPr>
          <w:rFonts w:ascii="Times New Roman" w:hAnsi="Times New Roman"/>
          <w:sz w:val="28"/>
          <w:szCs w:val="28"/>
        </w:rPr>
        <w:t xml:space="preserve">        Проектом решения внесены изменения в финансирование муниципальной программы «Благоустройство территории сельского поселения Девятинское на 2021-2025 годы» на 2023 год. Общий объем средств, направляемый на реализацию муниципальной программы, увеличится на 493,1 тыс. рублей (+5,</w:t>
      </w:r>
      <w:r w:rsidR="006061FC">
        <w:rPr>
          <w:rFonts w:ascii="Times New Roman" w:hAnsi="Times New Roman"/>
          <w:sz w:val="28"/>
          <w:szCs w:val="28"/>
        </w:rPr>
        <w:t>2</w:t>
      </w:r>
      <w:r w:rsidR="00A9156B">
        <w:rPr>
          <w:rFonts w:ascii="Times New Roman" w:hAnsi="Times New Roman"/>
          <w:sz w:val="28"/>
          <w:szCs w:val="28"/>
        </w:rPr>
        <w:t xml:space="preserve"> %) и составит в 2023 году 9</w:t>
      </w:r>
      <w:r w:rsidR="006061FC">
        <w:rPr>
          <w:rFonts w:ascii="Times New Roman" w:hAnsi="Times New Roman"/>
          <w:sz w:val="28"/>
          <w:szCs w:val="28"/>
        </w:rPr>
        <w:t>952,9</w:t>
      </w:r>
      <w:r w:rsidR="00A9156B">
        <w:rPr>
          <w:rFonts w:ascii="Times New Roman" w:hAnsi="Times New Roman"/>
          <w:sz w:val="28"/>
          <w:szCs w:val="28"/>
        </w:rPr>
        <w:t xml:space="preserve"> тыс. рублей, или 39,</w:t>
      </w:r>
      <w:r w:rsidR="006061FC">
        <w:rPr>
          <w:rFonts w:ascii="Times New Roman" w:hAnsi="Times New Roman"/>
          <w:sz w:val="28"/>
          <w:szCs w:val="28"/>
        </w:rPr>
        <w:t>6</w:t>
      </w:r>
      <w:r w:rsidR="00A9156B"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 на 2023 год. </w:t>
      </w:r>
    </w:p>
    <w:p w:rsidR="00FC2292" w:rsidRDefault="00A91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от 23.12.2022 года № 16 «О бюджете сельского поселения Девятинское на 2023 год и плановый период 2024 и 2025 годов».</w:t>
      </w:r>
    </w:p>
    <w:p w:rsidR="00FC2292" w:rsidRDefault="00A9156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C2292" w:rsidRDefault="00A9156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Выводы и предложения.</w:t>
      </w:r>
    </w:p>
    <w:p w:rsidR="006061FC" w:rsidRDefault="00A9156B" w:rsidP="006061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Представленный проект решения Совета сельского поселения Девятинское «О внесении изменений в решение Совета сельского поселения Девятинское от 23.12.2022 № 16»</w:t>
      </w:r>
      <w:r>
        <w:rPr>
          <w:rFonts w:ascii="Times New Roman" w:hAnsi="Times New Roman"/>
          <w:b/>
          <w:sz w:val="28"/>
          <w:szCs w:val="28"/>
        </w:rPr>
        <w:t xml:space="preserve"> 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</w:t>
      </w:r>
      <w:r w:rsidR="006061FC" w:rsidRPr="006061FC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</w:t>
      </w:r>
    </w:p>
    <w:p w:rsidR="006061FC" w:rsidRPr="006061FC" w:rsidRDefault="006061FC" w:rsidP="006061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61FC">
        <w:rPr>
          <w:rFonts w:ascii="Times New Roman" w:hAnsi="Times New Roman"/>
          <w:sz w:val="28"/>
          <w:szCs w:val="28"/>
        </w:rPr>
        <w:t xml:space="preserve">Ревизионная комиссия ВМР рекомендует представленный проект </w:t>
      </w:r>
      <w:r w:rsidRPr="006061FC"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FC2292" w:rsidRDefault="00A915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C22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 Ревизионной комиссии                                                  О.Е. Нестерова </w:t>
      </w:r>
    </w:p>
    <w:sectPr w:rsidR="00FC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DB" w:rsidRDefault="006E1BDB">
      <w:pPr>
        <w:spacing w:after="0" w:line="240" w:lineRule="auto"/>
      </w:pPr>
      <w:r>
        <w:separator/>
      </w:r>
    </w:p>
  </w:endnote>
  <w:endnote w:type="continuationSeparator" w:id="0">
    <w:p w:rsidR="006E1BDB" w:rsidRDefault="006E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DB" w:rsidRDefault="006E1BDB">
      <w:pPr>
        <w:spacing w:after="0" w:line="240" w:lineRule="auto"/>
      </w:pPr>
      <w:r>
        <w:separator/>
      </w:r>
    </w:p>
  </w:footnote>
  <w:footnote w:type="continuationSeparator" w:id="0">
    <w:p w:rsidR="006E1BDB" w:rsidRDefault="006E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D57"/>
    <w:multiLevelType w:val="hybridMultilevel"/>
    <w:tmpl w:val="DE061CC4"/>
    <w:lvl w:ilvl="0" w:tplc="D5E08C0A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790E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2E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C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AE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46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A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29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494D"/>
    <w:multiLevelType w:val="hybridMultilevel"/>
    <w:tmpl w:val="CBD8DA42"/>
    <w:lvl w:ilvl="0" w:tplc="9C4EC43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AC9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A9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6C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80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22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2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45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AD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65249"/>
    <w:multiLevelType w:val="hybridMultilevel"/>
    <w:tmpl w:val="F4C24B04"/>
    <w:lvl w:ilvl="0" w:tplc="563E21EC">
      <w:start w:val="1"/>
      <w:numFmt w:val="decimal"/>
      <w:lvlText w:val="%1."/>
      <w:lvlJc w:val="left"/>
      <w:pPr>
        <w:ind w:left="644" w:hanging="360"/>
      </w:pPr>
    </w:lvl>
    <w:lvl w:ilvl="1" w:tplc="C2643094">
      <w:start w:val="1"/>
      <w:numFmt w:val="decimal"/>
      <w:lvlText w:val="%2)"/>
      <w:lvlJc w:val="left"/>
      <w:pPr>
        <w:ind w:left="928" w:hanging="360"/>
      </w:pPr>
    </w:lvl>
    <w:lvl w:ilvl="2" w:tplc="F2B0D32C">
      <w:start w:val="1"/>
      <w:numFmt w:val="bullet"/>
      <w:lvlText w:val=""/>
      <w:lvlJc w:val="left"/>
      <w:pPr>
        <w:ind w:left="606" w:hanging="180"/>
      </w:pPr>
      <w:rPr>
        <w:rFonts w:ascii="Symbol" w:hAnsi="Symbol"/>
      </w:rPr>
    </w:lvl>
    <w:lvl w:ilvl="3" w:tplc="D076DDD0">
      <w:start w:val="1"/>
      <w:numFmt w:val="decimal"/>
      <w:lvlText w:val="%4."/>
      <w:lvlJc w:val="left"/>
      <w:pPr>
        <w:ind w:left="4222" w:hanging="360"/>
      </w:pPr>
    </w:lvl>
    <w:lvl w:ilvl="4" w:tplc="F8602E36">
      <w:start w:val="1"/>
      <w:numFmt w:val="lowerLetter"/>
      <w:lvlText w:val="%5."/>
      <w:lvlJc w:val="left"/>
      <w:pPr>
        <w:ind w:left="4942" w:hanging="360"/>
      </w:pPr>
    </w:lvl>
    <w:lvl w:ilvl="5" w:tplc="55D68D68">
      <w:start w:val="1"/>
      <w:numFmt w:val="lowerRoman"/>
      <w:lvlText w:val="%6."/>
      <w:lvlJc w:val="right"/>
      <w:pPr>
        <w:ind w:left="5662" w:hanging="180"/>
      </w:pPr>
    </w:lvl>
    <w:lvl w:ilvl="6" w:tplc="5E2AF196">
      <w:start w:val="1"/>
      <w:numFmt w:val="decimal"/>
      <w:lvlText w:val="%7."/>
      <w:lvlJc w:val="left"/>
      <w:pPr>
        <w:ind w:left="6382" w:hanging="360"/>
      </w:pPr>
    </w:lvl>
    <w:lvl w:ilvl="7" w:tplc="C54444DA">
      <w:start w:val="1"/>
      <w:numFmt w:val="lowerLetter"/>
      <w:lvlText w:val="%8."/>
      <w:lvlJc w:val="left"/>
      <w:pPr>
        <w:ind w:left="7102" w:hanging="360"/>
      </w:pPr>
    </w:lvl>
    <w:lvl w:ilvl="8" w:tplc="BB4A74EE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92"/>
    <w:rsid w:val="002A31C9"/>
    <w:rsid w:val="003C19C5"/>
    <w:rsid w:val="0046731A"/>
    <w:rsid w:val="006061FC"/>
    <w:rsid w:val="00654C98"/>
    <w:rsid w:val="006E1BDB"/>
    <w:rsid w:val="0095737D"/>
    <w:rsid w:val="00A20115"/>
    <w:rsid w:val="00A9156B"/>
    <w:rsid w:val="00C03192"/>
    <w:rsid w:val="00CF1B61"/>
    <w:rsid w:val="00E774BA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80FB-844C-4768-BCCD-DC1ADF4A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BF2A-FE3B-4D76-B9B2-1338BD53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99</cp:revision>
  <cp:lastPrinted>2023-11-09T13:44:00Z</cp:lastPrinted>
  <dcterms:created xsi:type="dcterms:W3CDTF">2018-05-17T09:59:00Z</dcterms:created>
  <dcterms:modified xsi:type="dcterms:W3CDTF">2023-11-09T13:55:00Z</dcterms:modified>
</cp:coreProperties>
</file>