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2"/>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40" w:after="160" w:line="228"/>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РЕВИЗИОННАЯ КОМИССИЯ ВЫТЕГОРСКОГО МУНИЦИПАЛЬНОГО РАЙОНА</w:t>
      </w:r>
    </w:p>
    <w:p>
      <w:pPr>
        <w:spacing w:before="40" w:after="160" w:line="228"/>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162900, Вологодская область, г. Вытегра, пр. Ленина, д.68</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 (81746) 2-22-03, факс (81746) ______,   e-mail: </w:t>
      </w:r>
      <w:r>
        <w:rPr>
          <w:rFonts w:ascii="Times New Roman" w:hAnsi="Times New Roman" w:cs="Times New Roman" w:eastAsia="Times New Roman"/>
          <w:color w:val="auto"/>
          <w:spacing w:val="0"/>
          <w:position w:val="0"/>
          <w:sz w:val="24"/>
          <w:u w:val="single"/>
          <w:shd w:fill="auto" w:val="clear"/>
        </w:rPr>
        <w:t xml:space="preserve">revkom@vytegra-adm.ru</w:t>
      </w:r>
    </w:p>
    <w:p>
      <w:pPr>
        <w:spacing w:before="40" w:after="160" w:line="228"/>
        <w:ind w:right="0" w:left="0" w:firstLine="0"/>
        <w:jc w:val="center"/>
        <w:rPr>
          <w:rFonts w:ascii="Times New Roman" w:hAnsi="Times New Roman" w:cs="Times New Roman" w:eastAsia="Times New Roman"/>
          <w:b/>
          <w:color w:val="auto"/>
          <w:spacing w:val="50"/>
          <w:position w:val="0"/>
          <w:sz w:val="22"/>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ЗАКЛЮЧЕНИЕ</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 проект решения Совета сельского поселения Анненское Вытегорского муниципального района Вологодской области</w:t>
      </w:r>
    </w:p>
    <w:p>
      <w:pPr>
        <w:tabs>
          <w:tab w:val="left" w:pos="567" w:leader="none"/>
        </w:tabs>
        <w:spacing w:before="0" w:after="12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15.12.2023                                                    г. Вытегра</w:t>
      </w:r>
    </w:p>
    <w:p>
      <w:pPr>
        <w:tabs>
          <w:tab w:val="left" w:pos="567" w:leader="none"/>
        </w:tabs>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Заключение Ревизионной комиссии Вытегорского муниципального района на проект решения Совета сельского поселения Анненское Вытегорского муниципального района Вологодской области (далее - Совета сельского поселения Анненское) «О внесении изменений в решение Совета сельского поселения Анненское от 23 декабря 2022 года № 16» подготовлено в соответствии с требованиями Бюджетного кодекса Российской Федерации, Положения о Ревизионной комиссии Вытегорского муниципального района, на основании заключённого соглашения между Советом сельского поселения Анненское и Представительным Собранием Вытегорского муниципального района на 2023 год.</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вносятся изменения в решение Совета сельского поселения Анненское от 23 декабря 2022 года № 16 «О бюджете сельского поселения Анненское на 2023 год и плановый период 2024 и 2025 годов».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Проектом решения предлагается внести изменения в доходную и расходную части бюджета поселения на 2023 год. Изменения в показатели бюджета поселения на 2023 год приведены в таблице:</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(тыс. рублей)   </w:t>
      </w:r>
    </w:p>
    <w:tbl>
      <w:tblPr>
        <w:tblInd w:w="50" w:type="dxa"/>
      </w:tblPr>
      <w:tblGrid>
        <w:gridCol w:w="3794"/>
        <w:gridCol w:w="1984"/>
        <w:gridCol w:w="1560"/>
        <w:gridCol w:w="1275"/>
        <w:gridCol w:w="1160"/>
      </w:tblGrid>
      <w:tr>
        <w:trPr>
          <w:trHeight w:val="463" w:hRule="auto"/>
          <w:jc w:val="left"/>
        </w:trPr>
        <w:tc>
          <w:tcPr>
            <w:tcW w:w="379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tc>
        <w:tc>
          <w:tcPr>
            <w:tcW w:w="1984" w:type="dxa"/>
            <w:tcBorders>
              <w:top w:val="single" w:color="000000" w:sz="5"/>
              <w:left w:val="single" w:color="000000" w:sz="5"/>
              <w:bottom w:val="single" w:color="836967"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Утверждено решением о бюджете от 23.12.22 № 16 (с изменениями)</w:t>
            </w:r>
          </w:p>
        </w:tc>
        <w:tc>
          <w:tcPr>
            <w:tcW w:w="1560" w:type="dxa"/>
            <w:tcBorders>
              <w:top w:val="single" w:color="000000" w:sz="5"/>
              <w:left w:val="single" w:color="000000" w:sz="5"/>
              <w:bottom w:val="single" w:color="836967"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Предлагаемые проектом решения изменения</w:t>
            </w:r>
          </w:p>
        </w:tc>
        <w:tc>
          <w:tcPr>
            <w:tcW w:w="1275" w:type="dxa"/>
            <w:tcBorders>
              <w:top w:val="single" w:color="000000" w:sz="5"/>
              <w:left w:val="single" w:color="000000" w:sz="5"/>
              <w:bottom w:val="single" w:color="836967"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Изменение</w:t>
            </w:r>
          </w:p>
        </w:tc>
        <w:tc>
          <w:tcPr>
            <w:tcW w:w="1160" w:type="dxa"/>
            <w:tcBorders>
              <w:top w:val="single" w:color="000000" w:sz="5"/>
              <w:left w:val="single" w:color="000000" w:sz="5"/>
              <w:bottom w:val="single" w:color="836967"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изменения</w:t>
            </w:r>
          </w:p>
        </w:tc>
      </w:tr>
      <w:tr>
        <w:trPr>
          <w:trHeight w:val="187" w:hRule="auto"/>
          <w:jc w:val="left"/>
        </w:trPr>
        <w:tc>
          <w:tcPr>
            <w:tcW w:w="3794" w:type="dxa"/>
            <w:tcBorders>
              <w:top w:val="single" w:color="000000" w:sz="5"/>
              <w:left w:val="single" w:color="000000" w:sz="5"/>
              <w:bottom w:val="single" w:color="000000" w:sz="5"/>
              <w:right w:val="single" w:color="836967"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Доходы, всего (тыс. рублей)</w:t>
            </w:r>
          </w:p>
        </w:tc>
        <w:tc>
          <w:tcPr>
            <w:tcW w:w="1984"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9731,0</w:t>
            </w:r>
          </w:p>
        </w:tc>
        <w:tc>
          <w:tcPr>
            <w:tcW w:w="1560"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9707,3</w:t>
            </w:r>
          </w:p>
        </w:tc>
        <w:tc>
          <w:tcPr>
            <w:tcW w:w="1275"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-23,7</w:t>
            </w:r>
          </w:p>
        </w:tc>
        <w:tc>
          <w:tcPr>
            <w:tcW w:w="1160"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18"/>
                <w:shd w:fill="auto" w:val="clear"/>
              </w:rPr>
            </w:pPr>
            <w:r>
              <w:rPr>
                <w:rFonts w:ascii="Times New Roman" w:hAnsi="Times New Roman" w:cs="Times New Roman" w:eastAsia="Times New Roman"/>
                <w:b/>
                <w:color w:val="000000"/>
                <w:spacing w:val="0"/>
                <w:position w:val="0"/>
                <w:sz w:val="18"/>
                <w:shd w:fill="auto" w:val="clear"/>
              </w:rPr>
              <w:t xml:space="preserve">-0,2%</w:t>
            </w:r>
          </w:p>
        </w:tc>
      </w:tr>
      <w:tr>
        <w:trPr>
          <w:trHeight w:val="110" w:hRule="auto"/>
          <w:jc w:val="left"/>
        </w:trPr>
        <w:tc>
          <w:tcPr>
            <w:tcW w:w="3794" w:type="dxa"/>
            <w:tcBorders>
              <w:top w:val="single" w:color="000000" w:sz="5"/>
              <w:left w:val="single" w:color="000000" w:sz="5"/>
              <w:bottom w:val="single" w:color="000000" w:sz="5"/>
              <w:right w:val="single" w:color="836967"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Налоговые и неналоговые доходы</w:t>
            </w:r>
          </w:p>
        </w:tc>
        <w:tc>
          <w:tcPr>
            <w:tcW w:w="1984"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794,0</w:t>
            </w:r>
          </w:p>
        </w:tc>
        <w:tc>
          <w:tcPr>
            <w:tcW w:w="1560"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794,0</w:t>
            </w:r>
          </w:p>
        </w:tc>
        <w:tc>
          <w:tcPr>
            <w:tcW w:w="1275"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0,0</w:t>
            </w:r>
          </w:p>
        </w:tc>
        <w:tc>
          <w:tcPr>
            <w:tcW w:w="1160"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0,0%</w:t>
            </w:r>
          </w:p>
        </w:tc>
      </w:tr>
      <w:tr>
        <w:trPr>
          <w:trHeight w:val="60" w:hRule="auto"/>
          <w:jc w:val="left"/>
        </w:trPr>
        <w:tc>
          <w:tcPr>
            <w:tcW w:w="3794" w:type="dxa"/>
            <w:tcBorders>
              <w:top w:val="single" w:color="000000" w:sz="5"/>
              <w:left w:val="single" w:color="000000" w:sz="5"/>
              <w:bottom w:val="single" w:color="000000" w:sz="5"/>
              <w:right w:val="single" w:color="836967"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Безвозмездные поступления </w:t>
            </w:r>
          </w:p>
        </w:tc>
        <w:tc>
          <w:tcPr>
            <w:tcW w:w="1984" w:type="dxa"/>
            <w:tcBorders>
              <w:top w:val="single" w:color="836967" w:sz="0"/>
              <w:left w:val="single" w:color="836967" w:sz="0"/>
              <w:bottom w:val="single" w:color="836967"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8937,0</w:t>
            </w:r>
          </w:p>
        </w:tc>
        <w:tc>
          <w:tcPr>
            <w:tcW w:w="1560" w:type="dxa"/>
            <w:tcBorders>
              <w:top w:val="single" w:color="836967" w:sz="0"/>
              <w:left w:val="single" w:color="836967" w:sz="0"/>
              <w:bottom w:val="single" w:color="836967"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8913,3</w:t>
            </w:r>
          </w:p>
        </w:tc>
        <w:tc>
          <w:tcPr>
            <w:tcW w:w="1275"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-23,7</w:t>
            </w:r>
          </w:p>
        </w:tc>
        <w:tc>
          <w:tcPr>
            <w:tcW w:w="1160"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-0,3%</w:t>
            </w:r>
          </w:p>
        </w:tc>
      </w:tr>
      <w:tr>
        <w:trPr>
          <w:trHeight w:val="130" w:hRule="auto"/>
          <w:jc w:val="left"/>
        </w:trPr>
        <w:tc>
          <w:tcPr>
            <w:tcW w:w="379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Расходы, всего (тыс. рублей)</w:t>
            </w:r>
          </w:p>
        </w:tc>
        <w:tc>
          <w:tcPr>
            <w:tcW w:w="1984" w:type="dxa"/>
            <w:tcBorders>
              <w:top w:val="single" w:color="836967"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9536,4</w:t>
            </w:r>
          </w:p>
        </w:tc>
        <w:tc>
          <w:tcPr>
            <w:tcW w:w="1560" w:type="dxa"/>
            <w:tcBorders>
              <w:top w:val="single" w:color="836967"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9512,2</w:t>
            </w:r>
          </w:p>
        </w:tc>
        <w:tc>
          <w:tcPr>
            <w:tcW w:w="1275" w:type="dxa"/>
            <w:tcBorders>
              <w:top w:val="single" w:color="836967"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-24,2</w:t>
            </w:r>
          </w:p>
        </w:tc>
        <w:tc>
          <w:tcPr>
            <w:tcW w:w="1160" w:type="dxa"/>
            <w:tcBorders>
              <w:top w:val="single" w:color="836967"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-0,3%</w:t>
            </w:r>
          </w:p>
        </w:tc>
      </w:tr>
      <w:tr>
        <w:trPr>
          <w:trHeight w:val="86" w:hRule="auto"/>
          <w:jc w:val="left"/>
        </w:trPr>
        <w:tc>
          <w:tcPr>
            <w:tcW w:w="379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Дефицит (-), профицит (+) бюджета</w:t>
            </w:r>
          </w:p>
        </w:tc>
        <w:tc>
          <w:tcPr>
            <w:tcW w:w="198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+194,6</w:t>
            </w:r>
          </w:p>
        </w:tc>
        <w:tc>
          <w:tcPr>
            <w:tcW w:w="1560"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+195,1</w:t>
            </w:r>
          </w:p>
        </w:tc>
        <w:tc>
          <w:tcPr>
            <w:tcW w:w="1275"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+0,5</w:t>
            </w:r>
          </w:p>
        </w:tc>
        <w:tc>
          <w:tcPr>
            <w:tcW w:w="1160"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w:t>
            </w:r>
          </w:p>
        </w:tc>
      </w:tr>
    </w:tbl>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Объем доходов бюджета на 2023 год уменьшится на 23,7 тыс. рублей и составит 9707,3 тыс. рублей. Налоговые и неналоговые доходы не изменятся, их объем составит 794,0 тыс. рублей. Безвозмездные поступления уменьшатся на 23,7 тыс. рублей и составят 8913,3 тыс. рублей. Доля безвозмездных поступлений в общем объеме доходов поселения – 91,8 %, доля налоговых и неналоговых доходов – 8,2 %. </w:t>
      </w:r>
    </w:p>
    <w:p>
      <w:pPr>
        <w:tabs>
          <w:tab w:val="left" w:pos="567" w:leader="none"/>
          <w:tab w:val="left" w:pos="1134"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Расходная часть бюджета уменьшится на 24,2 тыс. рублей (- 0,3 %) и составит 9512,2 тыс. рублей.</w:t>
      </w:r>
    </w:p>
    <w:p>
      <w:pPr>
        <w:tabs>
          <w:tab w:val="left" w:pos="567" w:leader="none"/>
          <w:tab w:val="left" w:pos="1134"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 результате вынесенных изменений размер профицита бюджета поселения увеличится на 0,5 тыс. рублей и составит 195,1 тыс. рублей.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Изменения, внесенные в расходную часть бюджета на 2023 год, в разрезе разделов, подразделов приведены в Приложении 1 к Заключению.</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объем расходов по разделу </w:t>
      </w:r>
      <w:r>
        <w:rPr>
          <w:rFonts w:ascii="Times New Roman" w:hAnsi="Times New Roman" w:cs="Times New Roman" w:eastAsia="Times New Roman"/>
          <w:b/>
          <w:color w:val="auto"/>
          <w:spacing w:val="0"/>
          <w:position w:val="0"/>
          <w:sz w:val="28"/>
          <w:shd w:fill="auto" w:val="clear"/>
        </w:rPr>
        <w:t xml:space="preserve">01 «Общегосударственные вопросы»</w:t>
      </w:r>
      <w:r>
        <w:rPr>
          <w:rFonts w:ascii="Times New Roman" w:hAnsi="Times New Roman" w:cs="Times New Roman" w:eastAsia="Times New Roman"/>
          <w:color w:val="auto"/>
          <w:spacing w:val="0"/>
          <w:position w:val="0"/>
          <w:sz w:val="28"/>
          <w:shd w:fill="auto" w:val="clear"/>
        </w:rPr>
        <w:t xml:space="preserve"> сократится на 8,4 тыс. рублей (-0,2 %). Уменьшение бюджетных ассигнований предусмотрено по подразделу</w:t>
      </w:r>
      <w:r>
        <w:rPr>
          <w:rFonts w:ascii="Times New Roman" w:hAnsi="Times New Roman" w:cs="Times New Roman" w:eastAsia="Times New Roman"/>
          <w:i/>
          <w:color w:val="auto"/>
          <w:spacing w:val="0"/>
          <w:position w:val="0"/>
          <w:sz w:val="28"/>
          <w:shd w:fill="auto" w:val="clear"/>
        </w:rPr>
        <w:t xml:space="preserve"> 0104 «Функционирование Правительства Российской Федерации, высших исполнительных органов государственной власти субъектов Российской Федерации, местной администрации»</w:t>
      </w:r>
      <w:r>
        <w:rPr>
          <w:rFonts w:ascii="Times New Roman" w:hAnsi="Times New Roman" w:cs="Times New Roman" w:eastAsia="Times New Roman"/>
          <w:color w:val="auto"/>
          <w:spacing w:val="0"/>
          <w:position w:val="0"/>
          <w:sz w:val="28"/>
          <w:shd w:fill="auto" w:val="clear"/>
        </w:rPr>
        <w:t xml:space="preserve">, в том числе: на закупки товаров, работ, услуг на 7,7 тыс. рублей, на уплату налогов, сборов на 0,7 тыс. рублей.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 разделу 03 </w:t>
      </w:r>
      <w:r>
        <w:rPr>
          <w:rFonts w:ascii="Times New Roman" w:hAnsi="Times New Roman" w:cs="Times New Roman" w:eastAsia="Times New Roman"/>
          <w:b/>
          <w:color w:val="auto"/>
          <w:spacing w:val="0"/>
          <w:position w:val="0"/>
          <w:sz w:val="28"/>
          <w:shd w:fill="auto" w:val="clear"/>
        </w:rPr>
        <w:t xml:space="preserve">«Национальная безопасность и правоохранительная деятельность»</w:t>
      </w:r>
      <w:r>
        <w:rPr>
          <w:rFonts w:ascii="Times New Roman" w:hAnsi="Times New Roman" w:cs="Times New Roman" w:eastAsia="Times New Roman"/>
          <w:color w:val="auto"/>
          <w:spacing w:val="0"/>
          <w:position w:val="0"/>
          <w:sz w:val="28"/>
          <w:shd w:fill="auto" w:val="clear"/>
        </w:rPr>
        <w:t xml:space="preserve"> расходы предлагается уменьшить на 0,3 тыс. рублей. Расходы уменьшатся на мероприятия, связанные с обеспечением безопасности и жизнедеятельности по подразделу 0310 </w:t>
      </w:r>
      <w:r>
        <w:rPr>
          <w:rFonts w:ascii="Times New Roman" w:hAnsi="Times New Roman" w:cs="Times New Roman" w:eastAsia="Times New Roman"/>
          <w:i/>
          <w:color w:val="auto"/>
          <w:spacing w:val="0"/>
          <w:position w:val="0"/>
          <w:sz w:val="28"/>
          <w:shd w:fill="auto" w:val="clear"/>
        </w:rPr>
        <w:t xml:space="preserve">«Защита населения и территории от чрезвычайных ситуаций природного и техногенного характера, пожарная безопасность».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 разделу </w:t>
      </w:r>
      <w:r>
        <w:rPr>
          <w:rFonts w:ascii="Times New Roman" w:hAnsi="Times New Roman" w:cs="Times New Roman" w:eastAsia="Times New Roman"/>
          <w:b/>
          <w:color w:val="auto"/>
          <w:spacing w:val="0"/>
          <w:position w:val="0"/>
          <w:sz w:val="28"/>
          <w:shd w:fill="auto" w:val="clear"/>
        </w:rPr>
        <w:t xml:space="preserve">05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«Жилищно-коммунальное хозяйство» </w:t>
      </w:r>
      <w:r>
        <w:rPr>
          <w:rFonts w:ascii="Times New Roman" w:hAnsi="Times New Roman" w:cs="Times New Roman" w:eastAsia="Times New Roman"/>
          <w:color w:val="auto"/>
          <w:spacing w:val="0"/>
          <w:position w:val="0"/>
          <w:sz w:val="28"/>
          <w:shd w:fill="auto" w:val="clear"/>
        </w:rPr>
        <w:t xml:space="preserve">объем бюджетных ассигнований</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предлагается уменьшить на 15,5 тыс. рублей. Расходы сократятся по подразделу </w:t>
      </w:r>
      <w:r>
        <w:rPr>
          <w:rFonts w:ascii="Times New Roman" w:hAnsi="Times New Roman" w:cs="Times New Roman" w:eastAsia="Times New Roman"/>
          <w:i/>
          <w:color w:val="auto"/>
          <w:spacing w:val="0"/>
          <w:position w:val="0"/>
          <w:sz w:val="28"/>
          <w:shd w:fill="auto" w:val="clear"/>
        </w:rPr>
        <w:t xml:space="preserve">0503 «Благоустройство»</w:t>
      </w:r>
      <w:r>
        <w:rPr>
          <w:rFonts w:ascii="Times New Roman" w:hAnsi="Times New Roman" w:cs="Times New Roman" w:eastAsia="Times New Roman"/>
          <w:color w:val="auto"/>
          <w:spacing w:val="0"/>
          <w:position w:val="0"/>
          <w:sz w:val="28"/>
          <w:shd w:fill="auto" w:val="clear"/>
        </w:rPr>
        <w:t xml:space="preserve">: на организацию уличного освещения (за счет собственных средств поселения) увеличатся на 100,0 тыс. рублей, на прочие мероприятия по благоустройству поселений увеличатся на 26,9 тыс. рублей, на реализацию проекта «Народный бюджет» уменьшатся на 474,7 тыс. рублей (проект «Обустройство тротуара в с. Анненский Мост Советский проспект» не исполнен), в том числе за счет средств поселения и пожертвований физических лиц (софинансирование) на 142,4 тыс. рублей, за счет субсидии из областного бюджета – на 332,3 тыс. рублей, утверждаются расходы на мероприятия в области благоустройства в сумме 332,3 тыс. рублей.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Проектом решения внесены изменения </w:t>
      </w:r>
      <w:r>
        <w:rPr>
          <w:rFonts w:ascii="Times New Roman" w:hAnsi="Times New Roman" w:cs="Times New Roman" w:eastAsia="Times New Roman"/>
          <w:color w:val="auto"/>
          <w:spacing w:val="0"/>
          <w:position w:val="0"/>
          <w:sz w:val="28"/>
          <w:shd w:fill="auto" w:val="clear"/>
        </w:rPr>
        <w:t xml:space="preserve">в финансирование муниципальных программ </w:t>
      </w:r>
      <w:r>
        <w:rPr>
          <w:rFonts w:ascii="Times New Roman" w:hAnsi="Times New Roman" w:cs="Times New Roman" w:eastAsia="Times New Roman"/>
          <w:color w:val="000000"/>
          <w:spacing w:val="0"/>
          <w:position w:val="0"/>
          <w:sz w:val="28"/>
          <w:shd w:fill="auto" w:val="clear"/>
        </w:rPr>
        <w:t xml:space="preserve">на 2023 год. </w:t>
      </w:r>
      <w:r>
        <w:rPr>
          <w:rFonts w:ascii="Times New Roman" w:hAnsi="Times New Roman" w:cs="Times New Roman" w:eastAsia="Times New Roman"/>
          <w:color w:val="auto"/>
          <w:spacing w:val="0"/>
          <w:position w:val="0"/>
          <w:sz w:val="28"/>
          <w:shd w:fill="auto" w:val="clear"/>
        </w:rPr>
        <w:t xml:space="preserve">Общий объем средств, направляемый на реализацию муниципальных программ в 2023 году, уменьшится на 348,1 тыс. рублей (-15,4 %) и составит 1915,8 тыс. рублей, или 20,1 % от общего объема расходов поселения</w:t>
      </w:r>
    </w:p>
    <w:p>
      <w:pPr>
        <w:tabs>
          <w:tab w:val="left" w:pos="567" w:leader="none"/>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внесены соответствующие изменения в приложения к решению от 23 декабря 2022 года № 16 «О бюджете сельского поселения Анненское на 2023 год и плановый период 2024 и 2025 годов».     </w:t>
      </w:r>
    </w:p>
    <w:p>
      <w:pPr>
        <w:tabs>
          <w:tab w:val="left" w:pos="567" w:leader="none"/>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567" w:leader="none"/>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567" w:leader="none"/>
          <w:tab w:val="left" w:pos="709"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567"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Выводы и предложения.</w:t>
      </w:r>
    </w:p>
    <w:p>
      <w:pPr>
        <w:spacing w:before="0" w:after="0" w:line="25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Представленный проект решения </w:t>
      </w:r>
      <w:r>
        <w:rPr>
          <w:rFonts w:ascii="Times New Roman" w:hAnsi="Times New Roman" w:cs="Times New Roman" w:eastAsia="Times New Roman"/>
          <w:b/>
          <w:color w:val="auto"/>
          <w:spacing w:val="0"/>
          <w:position w:val="0"/>
          <w:sz w:val="28"/>
          <w:shd w:fill="auto" w:val="clear"/>
        </w:rPr>
        <w:t xml:space="preserve">соответствует </w:t>
      </w:r>
      <w:r>
        <w:rPr>
          <w:rFonts w:ascii="Times New Roman" w:hAnsi="Times New Roman" w:cs="Times New Roman" w:eastAsia="Times New Roman"/>
          <w:color w:val="auto"/>
          <w:spacing w:val="0"/>
          <w:position w:val="0"/>
          <w:sz w:val="28"/>
          <w:shd w:fill="auto" w:val="clear"/>
        </w:rPr>
        <w:t xml:space="preserve">требованиям бюджетного законодательства. Внесение изменений в решение о бюджете поселения является обоснованным. Ревизионная комиссия ВМР рекомендует представленный проект </w:t>
      </w:r>
      <w:r>
        <w:rPr>
          <w:rFonts w:ascii="Times New Roman" w:hAnsi="Times New Roman" w:cs="Times New Roman" w:eastAsia="Times New Roman"/>
          <w:b/>
          <w:color w:val="auto"/>
          <w:spacing w:val="0"/>
          <w:position w:val="0"/>
          <w:sz w:val="28"/>
          <w:shd w:fill="auto" w:val="clear"/>
        </w:rPr>
        <w:t xml:space="preserve">к рассмотрению. </w:t>
      </w:r>
    </w:p>
    <w:p>
      <w:pPr>
        <w:spacing w:before="0" w:after="0" w:line="252"/>
        <w:ind w:right="0" w:left="0" w:firstLine="0"/>
        <w:jc w:val="both"/>
        <w:rPr>
          <w:rFonts w:ascii="Times New Roman" w:hAnsi="Times New Roman" w:cs="Times New Roman" w:eastAsia="Times New Roman"/>
          <w:b/>
          <w:color w:val="auto"/>
          <w:spacing w:val="0"/>
          <w:position w:val="0"/>
          <w:sz w:val="28"/>
          <w:shd w:fill="auto" w:val="clear"/>
        </w:rPr>
      </w:pPr>
    </w:p>
    <w:p>
      <w:pPr>
        <w:spacing w:before="0" w:after="160" w:line="25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Аудитор Ревизионной комиссии                                   О.Е. Нестерова</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