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5B" w:rsidRDefault="001A3ED5">
      <w:pPr>
        <w:jc w:val="center"/>
        <w:rPr>
          <w:lang w:eastAsia="ru-RU"/>
        </w:rPr>
      </w:pPr>
      <w:r>
        <w:rPr>
          <w:lang w:eastAsia="ru-RU"/>
        </w:rPr>
        <w:t xml:space="preserve"> </w:t>
      </w: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19050" t="0" r="952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3pt;height:45.0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77445B" w:rsidRDefault="001A3ED5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77445B" w:rsidRDefault="001A3ED5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77445B" w:rsidRDefault="001A3E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7445B" w:rsidRDefault="001A3ED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решения Совета сельского поселения А</w:t>
      </w:r>
      <w:r>
        <w:rPr>
          <w:rFonts w:ascii="Times New Roman" w:hAnsi="Times New Roman"/>
          <w:b/>
          <w:sz w:val="28"/>
          <w:szCs w:val="28"/>
        </w:rPr>
        <w:t xml:space="preserve">нхимовское </w:t>
      </w:r>
    </w:p>
    <w:p w:rsidR="0077445B" w:rsidRDefault="001A3ED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="0008260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г.                                                                                г. Вытегра</w:t>
      </w:r>
    </w:p>
    <w:p w:rsidR="0077445B" w:rsidRDefault="001A3ED5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муниципального района на проект решения Совета сельского поселения Анхимовское «О внесении изме</w:t>
      </w:r>
      <w:r>
        <w:rPr>
          <w:rFonts w:ascii="Times New Roman" w:hAnsi="Times New Roman"/>
          <w:sz w:val="28"/>
          <w:szCs w:val="28"/>
        </w:rPr>
        <w:t>нений в решение Совета сельского поселения Анхимовское от 14.12.2022 № 16»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</w:t>
      </w:r>
      <w:r>
        <w:rPr>
          <w:rFonts w:ascii="Times New Roman" w:hAnsi="Times New Roman"/>
          <w:sz w:val="28"/>
          <w:szCs w:val="28"/>
        </w:rPr>
        <w:t xml:space="preserve">глашения между Советом сельского поселения Анхимовское и Представительным Собранием Вытегорского муниципального района на 2023 год. </w:t>
      </w:r>
      <w:r>
        <w:rPr>
          <w:sz w:val="28"/>
          <w:szCs w:val="28"/>
        </w:rPr>
        <w:t xml:space="preserve">        </w:t>
      </w:r>
    </w:p>
    <w:p w:rsidR="0077445B" w:rsidRDefault="001A3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Анхимовское от 14.12.2022 года № 1</w:t>
      </w:r>
      <w:r>
        <w:rPr>
          <w:rFonts w:ascii="Times New Roman" w:hAnsi="Times New Roman"/>
          <w:sz w:val="28"/>
          <w:szCs w:val="28"/>
        </w:rPr>
        <w:t xml:space="preserve">6 «О бюджете сельского поселения Анхимовское на 2023 год и плановый период 2024 и 2025 годов». </w:t>
      </w:r>
    </w:p>
    <w:p w:rsidR="0008260A" w:rsidRDefault="001A3ED5" w:rsidP="00082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</w:t>
      </w:r>
      <w:r w:rsidR="0008260A">
        <w:rPr>
          <w:rFonts w:ascii="Times New Roman" w:hAnsi="Times New Roman"/>
          <w:sz w:val="28"/>
          <w:szCs w:val="28"/>
        </w:rPr>
        <w:t>п</w:t>
      </w:r>
      <w:r w:rsidR="0008260A" w:rsidRPr="00BF4DE4">
        <w:rPr>
          <w:rFonts w:ascii="Times New Roman" w:hAnsi="Times New Roman"/>
          <w:sz w:val="28"/>
          <w:szCs w:val="28"/>
        </w:rPr>
        <w:t>редлагается внести изменения в доходную и расходную части бюджета поселения на 2023 год.</w:t>
      </w:r>
      <w:r w:rsidR="0008260A">
        <w:rPr>
          <w:rFonts w:ascii="Times New Roman" w:hAnsi="Times New Roman"/>
          <w:sz w:val="28"/>
          <w:szCs w:val="28"/>
        </w:rPr>
        <w:t xml:space="preserve"> </w:t>
      </w:r>
      <w:r w:rsidR="0008260A" w:rsidRPr="00BF4DE4">
        <w:rPr>
          <w:rFonts w:ascii="Times New Roman" w:hAnsi="Times New Roman"/>
          <w:sz w:val="28"/>
          <w:szCs w:val="28"/>
        </w:rPr>
        <w:t>Изменения в показатели бюджета поселения на 2023 год приведены в таблице:</w:t>
      </w:r>
    </w:p>
    <w:p w:rsidR="0008260A" w:rsidRPr="0008260A" w:rsidRDefault="0008260A" w:rsidP="0008260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8260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Pr="0008260A">
        <w:rPr>
          <w:rFonts w:ascii="Times New Roman" w:hAnsi="Times New Roman"/>
          <w:sz w:val="18"/>
          <w:szCs w:val="18"/>
        </w:rPr>
        <w:t xml:space="preserve"> (тыс. рублей)       </w:t>
      </w:r>
    </w:p>
    <w:tbl>
      <w:tblPr>
        <w:tblStyle w:val="33"/>
        <w:tblW w:w="9243" w:type="dxa"/>
        <w:tblInd w:w="108" w:type="dxa"/>
        <w:tblLook w:val="04A0" w:firstRow="1" w:lastRow="0" w:firstColumn="1" w:lastColumn="0" w:noHBand="0" w:noVBand="1"/>
      </w:tblPr>
      <w:tblGrid>
        <w:gridCol w:w="3518"/>
        <w:gridCol w:w="1614"/>
        <w:gridCol w:w="1559"/>
        <w:gridCol w:w="1276"/>
        <w:gridCol w:w="1276"/>
      </w:tblGrid>
      <w:tr w:rsidR="0008260A" w:rsidRPr="0008260A" w:rsidTr="0008260A">
        <w:trPr>
          <w:trHeight w:val="540"/>
        </w:trPr>
        <w:tc>
          <w:tcPr>
            <w:tcW w:w="3518" w:type="dxa"/>
            <w:noWrap/>
            <w:hideMark/>
          </w:tcPr>
          <w:p w:rsidR="0008260A" w:rsidRPr="0008260A" w:rsidRDefault="0008260A" w:rsidP="0008260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  <w:p w:rsidR="0008260A" w:rsidRPr="0008260A" w:rsidRDefault="0008260A" w:rsidP="0008260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260A" w:rsidRPr="0008260A" w:rsidRDefault="0008260A" w:rsidP="0008260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4" w:type="dxa"/>
            <w:hideMark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sz w:val="18"/>
                <w:szCs w:val="18"/>
              </w:rPr>
              <w:t>Утверждено решением о бюджете от 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8260A">
              <w:rPr>
                <w:rFonts w:ascii="Times New Roman" w:hAnsi="Times New Roman"/>
                <w:sz w:val="18"/>
                <w:szCs w:val="18"/>
              </w:rPr>
              <w:t>.12.22 № 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hideMark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76" w:type="dxa"/>
            <w:noWrap/>
            <w:hideMark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276" w:type="dxa"/>
            <w:noWrap/>
            <w:hideMark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08260A" w:rsidRPr="0008260A" w:rsidTr="0008260A">
        <w:trPr>
          <w:trHeight w:val="300"/>
        </w:trPr>
        <w:tc>
          <w:tcPr>
            <w:tcW w:w="3518" w:type="dxa"/>
            <w:noWrap/>
            <w:hideMark/>
          </w:tcPr>
          <w:p w:rsidR="0008260A" w:rsidRPr="0008260A" w:rsidRDefault="0008260A" w:rsidP="0008260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  <w:r w:rsidRPr="000826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2,7%</w:t>
            </w:r>
          </w:p>
        </w:tc>
      </w:tr>
      <w:tr w:rsidR="0008260A" w:rsidRPr="0008260A" w:rsidTr="0008260A">
        <w:trPr>
          <w:trHeight w:val="300"/>
        </w:trPr>
        <w:tc>
          <w:tcPr>
            <w:tcW w:w="3518" w:type="dxa"/>
            <w:noWrap/>
            <w:hideMark/>
          </w:tcPr>
          <w:p w:rsidR="0008260A" w:rsidRPr="0008260A" w:rsidRDefault="0008260A" w:rsidP="0008260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color w:val="000000"/>
                <w:sz w:val="18"/>
                <w:szCs w:val="18"/>
              </w:rPr>
              <w:t>1856,0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color w:val="000000"/>
                <w:sz w:val="18"/>
                <w:szCs w:val="18"/>
              </w:rPr>
              <w:t>1856,0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08260A" w:rsidRPr="0008260A" w:rsidTr="0008260A">
        <w:trPr>
          <w:trHeight w:val="300"/>
        </w:trPr>
        <w:tc>
          <w:tcPr>
            <w:tcW w:w="3518" w:type="dxa"/>
            <w:noWrap/>
            <w:hideMark/>
          </w:tcPr>
          <w:p w:rsidR="0008260A" w:rsidRPr="0008260A" w:rsidRDefault="0008260A" w:rsidP="0008260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color w:val="000000"/>
                <w:sz w:val="18"/>
                <w:szCs w:val="18"/>
              </w:rPr>
              <w:t>5624,4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color w:val="000000"/>
                <w:sz w:val="18"/>
                <w:szCs w:val="18"/>
              </w:rPr>
              <w:t>5829,4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</w:t>
            </w:r>
            <w:r w:rsidRPr="0008260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</w:t>
            </w:r>
            <w:r w:rsidRPr="0008260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3,6%</w:t>
            </w:r>
          </w:p>
        </w:tc>
      </w:tr>
      <w:tr w:rsidR="0008260A" w:rsidRPr="0008260A" w:rsidTr="0008260A">
        <w:trPr>
          <w:trHeight w:val="300"/>
        </w:trPr>
        <w:tc>
          <w:tcPr>
            <w:tcW w:w="3518" w:type="dxa"/>
            <w:noWrap/>
            <w:hideMark/>
          </w:tcPr>
          <w:p w:rsidR="0008260A" w:rsidRPr="0008260A" w:rsidRDefault="0008260A" w:rsidP="0008260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14" w:type="dxa"/>
            <w:noWrap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7724,7</w:t>
            </w:r>
          </w:p>
        </w:tc>
        <w:tc>
          <w:tcPr>
            <w:tcW w:w="1559" w:type="dxa"/>
            <w:noWrap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7833,6</w:t>
            </w:r>
          </w:p>
        </w:tc>
        <w:tc>
          <w:tcPr>
            <w:tcW w:w="1276" w:type="dxa"/>
            <w:noWrap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+108,9</w:t>
            </w:r>
          </w:p>
        </w:tc>
        <w:tc>
          <w:tcPr>
            <w:tcW w:w="1276" w:type="dxa"/>
            <w:noWrap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+1,4%</w:t>
            </w:r>
          </w:p>
        </w:tc>
      </w:tr>
      <w:tr w:rsidR="0008260A" w:rsidRPr="0008260A" w:rsidTr="0008260A">
        <w:trPr>
          <w:trHeight w:val="300"/>
        </w:trPr>
        <w:tc>
          <w:tcPr>
            <w:tcW w:w="3518" w:type="dxa"/>
            <w:noWrap/>
            <w:hideMark/>
          </w:tcPr>
          <w:p w:rsidR="0008260A" w:rsidRPr="0008260A" w:rsidRDefault="0008260A" w:rsidP="0008260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260A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14" w:type="dxa"/>
            <w:noWrap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-244,3</w:t>
            </w:r>
          </w:p>
        </w:tc>
        <w:tc>
          <w:tcPr>
            <w:tcW w:w="1559" w:type="dxa"/>
            <w:noWrap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-148,2</w:t>
            </w:r>
          </w:p>
        </w:tc>
        <w:tc>
          <w:tcPr>
            <w:tcW w:w="1276" w:type="dxa"/>
            <w:noWrap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-96,1</w:t>
            </w:r>
          </w:p>
        </w:tc>
        <w:tc>
          <w:tcPr>
            <w:tcW w:w="1276" w:type="dxa"/>
            <w:noWrap/>
          </w:tcPr>
          <w:p w:rsidR="0008260A" w:rsidRPr="0008260A" w:rsidRDefault="0008260A" w:rsidP="000826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8260A" w:rsidRPr="0008260A" w:rsidRDefault="0008260A" w:rsidP="000826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8260A">
        <w:rPr>
          <w:rFonts w:ascii="Times New Roman" w:hAnsi="Times New Roman"/>
          <w:sz w:val="28"/>
          <w:szCs w:val="28"/>
        </w:rPr>
        <w:t xml:space="preserve">Общий плановый объем доходов бюджета в 2023 году увеличится на </w:t>
      </w:r>
      <w:r>
        <w:rPr>
          <w:rFonts w:ascii="Times New Roman" w:hAnsi="Times New Roman"/>
          <w:sz w:val="28"/>
          <w:szCs w:val="28"/>
        </w:rPr>
        <w:t>205,</w:t>
      </w:r>
      <w:r w:rsidRPr="0008260A">
        <w:rPr>
          <w:rFonts w:ascii="Times New Roman" w:hAnsi="Times New Roman"/>
          <w:sz w:val="28"/>
          <w:szCs w:val="28"/>
        </w:rPr>
        <w:t>0 тыс. рублей (+</w:t>
      </w:r>
      <w:r>
        <w:rPr>
          <w:rFonts w:ascii="Times New Roman" w:hAnsi="Times New Roman"/>
          <w:sz w:val="28"/>
          <w:szCs w:val="28"/>
        </w:rPr>
        <w:t>2,7</w:t>
      </w:r>
      <w:r w:rsidRPr="0008260A">
        <w:rPr>
          <w:rFonts w:ascii="Times New Roman" w:hAnsi="Times New Roman"/>
          <w:sz w:val="28"/>
          <w:szCs w:val="28"/>
        </w:rPr>
        <w:t xml:space="preserve">%) и составит </w:t>
      </w:r>
      <w:r>
        <w:rPr>
          <w:rFonts w:ascii="Times New Roman" w:hAnsi="Times New Roman"/>
          <w:sz w:val="28"/>
          <w:szCs w:val="28"/>
        </w:rPr>
        <w:t>7685,4</w:t>
      </w:r>
      <w:r w:rsidRPr="0008260A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Pr="0008260A">
        <w:rPr>
          <w:rFonts w:ascii="Times New Roman" w:hAnsi="Times New Roman"/>
          <w:sz w:val="28"/>
          <w:szCs w:val="28"/>
        </w:rPr>
        <w:t xml:space="preserve">  План поступлений налоговых и неналоговых доходов останется без изменений и составит </w:t>
      </w:r>
      <w:r>
        <w:rPr>
          <w:rFonts w:ascii="Times New Roman" w:hAnsi="Times New Roman"/>
          <w:sz w:val="28"/>
          <w:szCs w:val="28"/>
        </w:rPr>
        <w:t>1856,0</w:t>
      </w:r>
      <w:r w:rsidRPr="0008260A">
        <w:rPr>
          <w:rFonts w:ascii="Times New Roman" w:hAnsi="Times New Roman"/>
          <w:sz w:val="28"/>
          <w:szCs w:val="28"/>
        </w:rPr>
        <w:t xml:space="preserve"> тыс. рублей. Объем безвозмездных поступлений увеличится на </w:t>
      </w:r>
      <w:r>
        <w:rPr>
          <w:rFonts w:ascii="Times New Roman" w:hAnsi="Times New Roman"/>
          <w:sz w:val="28"/>
          <w:szCs w:val="28"/>
        </w:rPr>
        <w:t>205,</w:t>
      </w:r>
      <w:r w:rsidRPr="0008260A">
        <w:rPr>
          <w:rFonts w:ascii="Times New Roman" w:hAnsi="Times New Roman"/>
          <w:sz w:val="28"/>
          <w:szCs w:val="28"/>
        </w:rPr>
        <w:t>0 тыс. рублей (+</w:t>
      </w:r>
      <w:r>
        <w:rPr>
          <w:rFonts w:ascii="Times New Roman" w:hAnsi="Times New Roman"/>
          <w:sz w:val="28"/>
          <w:szCs w:val="28"/>
        </w:rPr>
        <w:t>3,6%</w:t>
      </w:r>
      <w:r w:rsidRPr="0008260A">
        <w:rPr>
          <w:rFonts w:ascii="Times New Roman" w:hAnsi="Times New Roman"/>
          <w:sz w:val="28"/>
          <w:szCs w:val="28"/>
        </w:rPr>
        <w:t xml:space="preserve">), в том числе за счет дополнительного поступления дотаций на сбалансированность в сумме </w:t>
      </w:r>
      <w:r w:rsidR="003B7CF0">
        <w:rPr>
          <w:rFonts w:ascii="Times New Roman" w:hAnsi="Times New Roman"/>
          <w:sz w:val="28"/>
          <w:szCs w:val="28"/>
        </w:rPr>
        <w:t>200</w:t>
      </w:r>
      <w:r w:rsidRPr="0008260A">
        <w:rPr>
          <w:rFonts w:ascii="Times New Roman" w:hAnsi="Times New Roman"/>
          <w:sz w:val="28"/>
          <w:szCs w:val="28"/>
        </w:rPr>
        <w:t xml:space="preserve">,0 тыс. рублей, прочих безвозмездных поступлений от негосударственных организаций в сумме </w:t>
      </w:r>
      <w:r w:rsidR="003B7CF0">
        <w:rPr>
          <w:rFonts w:ascii="Times New Roman" w:hAnsi="Times New Roman"/>
          <w:sz w:val="28"/>
          <w:szCs w:val="28"/>
        </w:rPr>
        <w:t>10</w:t>
      </w:r>
      <w:r w:rsidRPr="0008260A">
        <w:rPr>
          <w:rFonts w:ascii="Times New Roman" w:hAnsi="Times New Roman"/>
          <w:sz w:val="28"/>
          <w:szCs w:val="28"/>
        </w:rPr>
        <w:t xml:space="preserve">,0 тыс. рублей. </w:t>
      </w:r>
      <w:r w:rsidR="003B7CF0">
        <w:rPr>
          <w:rFonts w:ascii="Times New Roman" w:hAnsi="Times New Roman"/>
          <w:sz w:val="28"/>
          <w:szCs w:val="28"/>
        </w:rPr>
        <w:t xml:space="preserve">Прочие безвозмездные поступления уменьшены на 5,0 тыс. рублей (уточнены объемы софинансирования на реализацию проектов «Народный бюджет»). </w:t>
      </w:r>
      <w:r w:rsidRPr="0008260A">
        <w:rPr>
          <w:rFonts w:ascii="Times New Roman" w:hAnsi="Times New Roman"/>
          <w:sz w:val="28"/>
          <w:szCs w:val="28"/>
        </w:rPr>
        <w:lastRenderedPageBreak/>
        <w:t xml:space="preserve">Общий объем безвозмездных поступлений составит </w:t>
      </w:r>
      <w:r w:rsidR="003B7CF0">
        <w:rPr>
          <w:rFonts w:ascii="Times New Roman" w:hAnsi="Times New Roman"/>
          <w:sz w:val="28"/>
          <w:szCs w:val="28"/>
        </w:rPr>
        <w:t>5829,4</w:t>
      </w:r>
      <w:r w:rsidRPr="0008260A">
        <w:rPr>
          <w:rFonts w:ascii="Times New Roman" w:hAnsi="Times New Roman"/>
          <w:sz w:val="28"/>
          <w:szCs w:val="28"/>
        </w:rPr>
        <w:t xml:space="preserve"> тыс. рублей. Доля безвозмездных поступлений в общем объеме доходов поселения – </w:t>
      </w:r>
      <w:r w:rsidR="003B7CF0">
        <w:rPr>
          <w:rFonts w:ascii="Times New Roman" w:hAnsi="Times New Roman"/>
          <w:sz w:val="28"/>
          <w:szCs w:val="28"/>
        </w:rPr>
        <w:t>75,9</w:t>
      </w:r>
      <w:r w:rsidRPr="0008260A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 w:rsidR="003B7CF0">
        <w:rPr>
          <w:rFonts w:ascii="Times New Roman" w:hAnsi="Times New Roman"/>
          <w:sz w:val="28"/>
          <w:szCs w:val="28"/>
        </w:rPr>
        <w:t>24,1</w:t>
      </w:r>
      <w:r w:rsidRPr="0008260A">
        <w:rPr>
          <w:rFonts w:ascii="Times New Roman" w:hAnsi="Times New Roman"/>
          <w:sz w:val="28"/>
          <w:szCs w:val="28"/>
        </w:rPr>
        <w:t xml:space="preserve"> %. </w:t>
      </w:r>
    </w:p>
    <w:p w:rsidR="003B7CF0" w:rsidRDefault="0008260A" w:rsidP="003B7C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60A">
        <w:rPr>
          <w:rFonts w:ascii="Times New Roman" w:hAnsi="Times New Roman"/>
          <w:sz w:val="28"/>
          <w:szCs w:val="28"/>
        </w:rPr>
        <w:t xml:space="preserve"> </w:t>
      </w:r>
      <w:r w:rsidR="003B7CF0">
        <w:rPr>
          <w:rFonts w:ascii="Times New Roman" w:hAnsi="Times New Roman"/>
          <w:sz w:val="28"/>
          <w:szCs w:val="28"/>
        </w:rPr>
        <w:t xml:space="preserve">    </w:t>
      </w:r>
      <w:r w:rsidRPr="0008260A">
        <w:rPr>
          <w:rFonts w:ascii="Times New Roman" w:hAnsi="Times New Roman"/>
          <w:iCs/>
          <w:sz w:val="28"/>
          <w:szCs w:val="28"/>
        </w:rPr>
        <w:t xml:space="preserve">   Р</w:t>
      </w:r>
      <w:r w:rsidRPr="0008260A">
        <w:rPr>
          <w:rFonts w:ascii="Times New Roman" w:hAnsi="Times New Roman"/>
          <w:sz w:val="28"/>
          <w:szCs w:val="28"/>
        </w:rPr>
        <w:t xml:space="preserve">асходная часть бюджета увеличится на </w:t>
      </w:r>
      <w:r w:rsidR="003B7CF0">
        <w:rPr>
          <w:rFonts w:ascii="Times New Roman" w:hAnsi="Times New Roman"/>
          <w:sz w:val="28"/>
          <w:szCs w:val="28"/>
        </w:rPr>
        <w:t>108,9</w:t>
      </w:r>
      <w:r w:rsidRPr="0008260A">
        <w:rPr>
          <w:rFonts w:ascii="Times New Roman" w:hAnsi="Times New Roman"/>
          <w:sz w:val="28"/>
          <w:szCs w:val="28"/>
        </w:rPr>
        <w:t xml:space="preserve"> тыс. рублей </w:t>
      </w:r>
      <w:r w:rsidR="003B7CF0">
        <w:rPr>
          <w:rFonts w:ascii="Times New Roman" w:hAnsi="Times New Roman"/>
          <w:sz w:val="28"/>
          <w:szCs w:val="28"/>
        </w:rPr>
        <w:t xml:space="preserve">(+1,4 %) </w:t>
      </w:r>
      <w:r w:rsidRPr="0008260A">
        <w:rPr>
          <w:rFonts w:ascii="Times New Roman" w:hAnsi="Times New Roman"/>
          <w:sz w:val="28"/>
          <w:szCs w:val="28"/>
        </w:rPr>
        <w:t xml:space="preserve">и составит </w:t>
      </w:r>
      <w:r w:rsidR="003B7CF0">
        <w:rPr>
          <w:rFonts w:ascii="Times New Roman" w:hAnsi="Times New Roman"/>
          <w:sz w:val="28"/>
          <w:szCs w:val="28"/>
        </w:rPr>
        <w:t>7833,6</w:t>
      </w:r>
      <w:r w:rsidRPr="0008260A">
        <w:rPr>
          <w:rFonts w:ascii="Times New Roman" w:hAnsi="Times New Roman"/>
          <w:sz w:val="28"/>
          <w:szCs w:val="28"/>
        </w:rPr>
        <w:t xml:space="preserve"> тыс. рублей. Увеличение расходной части бюджета предлагается произвести за счет дополнительно поступающих безвозмездных поступлений</w:t>
      </w:r>
      <w:r w:rsidR="003B7CF0">
        <w:rPr>
          <w:rFonts w:ascii="Times New Roman" w:hAnsi="Times New Roman"/>
          <w:sz w:val="28"/>
          <w:szCs w:val="28"/>
        </w:rPr>
        <w:t>.</w:t>
      </w:r>
    </w:p>
    <w:p w:rsidR="0008260A" w:rsidRPr="0008260A" w:rsidRDefault="0008260A" w:rsidP="003B7C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260A">
        <w:rPr>
          <w:rFonts w:ascii="Times New Roman" w:hAnsi="Times New Roman"/>
          <w:sz w:val="28"/>
          <w:szCs w:val="28"/>
        </w:rPr>
        <w:t xml:space="preserve">       Изменения, внесенные в расходную часть бюджета на 2023 год, в разрезе разделов, подразделов приведены в Приложении 1 к Заключению.</w:t>
      </w:r>
    </w:p>
    <w:p w:rsidR="00D148E0" w:rsidRDefault="003B7CF0" w:rsidP="003B7C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B7CF0">
        <w:rPr>
          <w:rFonts w:ascii="Times New Roman" w:hAnsi="Times New Roman"/>
          <w:sz w:val="28"/>
          <w:szCs w:val="28"/>
        </w:rPr>
        <w:t xml:space="preserve">Проектом решения объем расходов по разделу 01 </w:t>
      </w:r>
      <w:r w:rsidRPr="003B7CF0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3B7CF0">
        <w:rPr>
          <w:rFonts w:ascii="Times New Roman" w:hAnsi="Times New Roman"/>
          <w:sz w:val="28"/>
          <w:szCs w:val="28"/>
        </w:rPr>
        <w:t xml:space="preserve"> уменьшается на </w:t>
      </w:r>
      <w:r w:rsidR="00D148E0">
        <w:rPr>
          <w:rFonts w:ascii="Times New Roman" w:hAnsi="Times New Roman"/>
          <w:sz w:val="28"/>
          <w:szCs w:val="28"/>
        </w:rPr>
        <w:t>67,6</w:t>
      </w:r>
      <w:r w:rsidRPr="003B7CF0">
        <w:rPr>
          <w:rFonts w:ascii="Times New Roman" w:hAnsi="Times New Roman"/>
          <w:sz w:val="28"/>
          <w:szCs w:val="28"/>
        </w:rPr>
        <w:t xml:space="preserve"> тыс. рублей</w:t>
      </w:r>
      <w:r w:rsidR="00D148E0">
        <w:rPr>
          <w:rFonts w:ascii="Times New Roman" w:hAnsi="Times New Roman"/>
          <w:sz w:val="28"/>
          <w:szCs w:val="28"/>
        </w:rPr>
        <w:t>, в том числе</w:t>
      </w:r>
      <w:r w:rsidR="00D148E0" w:rsidRPr="00D148E0">
        <w:rPr>
          <w:rFonts w:ascii="Times New Roman" w:hAnsi="Times New Roman"/>
          <w:sz w:val="28"/>
          <w:szCs w:val="28"/>
        </w:rPr>
        <w:t>:</w:t>
      </w:r>
    </w:p>
    <w:p w:rsidR="003B7CF0" w:rsidRDefault="00D148E0" w:rsidP="003B7C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7CF0" w:rsidRPr="003B7CF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 п</w:t>
      </w:r>
      <w:r w:rsidR="003B7CF0" w:rsidRPr="003B7CF0">
        <w:rPr>
          <w:rFonts w:ascii="Times New Roman" w:hAnsi="Times New Roman"/>
          <w:sz w:val="28"/>
          <w:szCs w:val="28"/>
        </w:rPr>
        <w:t xml:space="preserve">о подразделу </w:t>
      </w:r>
      <w:r w:rsidR="003B7CF0" w:rsidRPr="003B7CF0">
        <w:rPr>
          <w:rFonts w:ascii="Times New Roman" w:hAnsi="Times New Roman"/>
          <w:i/>
          <w:sz w:val="28"/>
          <w:szCs w:val="28"/>
        </w:rPr>
        <w:t>0102</w:t>
      </w:r>
      <w:r w:rsidR="003B7CF0" w:rsidRPr="003B7CF0">
        <w:rPr>
          <w:i/>
        </w:rPr>
        <w:t xml:space="preserve"> «</w:t>
      </w:r>
      <w:r w:rsidR="003B7CF0" w:rsidRPr="003B7CF0">
        <w:rPr>
          <w:rFonts w:ascii="Times New Roman" w:hAnsi="Times New Roman"/>
          <w:i/>
          <w:sz w:val="28"/>
          <w:szCs w:val="28"/>
        </w:rPr>
        <w:t xml:space="preserve">Функционирование высшего должностного лица субъекта Российской Федерации и муниципального образования» </w:t>
      </w:r>
      <w:r w:rsidR="003B7CF0" w:rsidRPr="003B7CF0">
        <w:rPr>
          <w:rFonts w:ascii="Times New Roman" w:hAnsi="Times New Roman"/>
          <w:sz w:val="28"/>
          <w:szCs w:val="28"/>
        </w:rPr>
        <w:t>расходы предлагается у</w:t>
      </w:r>
      <w:r>
        <w:rPr>
          <w:rFonts w:ascii="Times New Roman" w:hAnsi="Times New Roman"/>
          <w:sz w:val="28"/>
          <w:szCs w:val="28"/>
        </w:rPr>
        <w:t xml:space="preserve">меньшить </w:t>
      </w:r>
      <w:r w:rsidR="003B7CF0" w:rsidRPr="003B7C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4,6</w:t>
      </w:r>
      <w:r w:rsidR="003B7CF0" w:rsidRPr="003B7CF0">
        <w:rPr>
          <w:rFonts w:ascii="Times New Roman" w:hAnsi="Times New Roman"/>
          <w:sz w:val="28"/>
          <w:szCs w:val="28"/>
        </w:rPr>
        <w:t xml:space="preserve"> тыс. рублей (расх</w:t>
      </w:r>
      <w:r>
        <w:rPr>
          <w:rFonts w:ascii="Times New Roman" w:hAnsi="Times New Roman"/>
          <w:sz w:val="28"/>
          <w:szCs w:val="28"/>
        </w:rPr>
        <w:t>оды на выплаты Главе)</w:t>
      </w:r>
      <w:r w:rsidRPr="00D148E0">
        <w:rPr>
          <w:rFonts w:ascii="Times New Roman" w:hAnsi="Times New Roman"/>
          <w:sz w:val="28"/>
          <w:szCs w:val="28"/>
        </w:rPr>
        <w:t>;</w:t>
      </w:r>
    </w:p>
    <w:p w:rsidR="003B7CF0" w:rsidRPr="003B7CF0" w:rsidRDefault="00D148E0" w:rsidP="003B7C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</w:t>
      </w:r>
      <w:r w:rsidR="003B7CF0" w:rsidRPr="003B7CF0">
        <w:rPr>
          <w:rFonts w:ascii="Times New Roman" w:hAnsi="Times New Roman"/>
          <w:sz w:val="28"/>
          <w:szCs w:val="28"/>
        </w:rPr>
        <w:t>о подразделу</w:t>
      </w:r>
      <w:r w:rsidR="003B7CF0" w:rsidRPr="003B7CF0">
        <w:rPr>
          <w:rFonts w:ascii="Times New Roman" w:hAnsi="Times New Roman"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="003B7CF0" w:rsidRPr="003B7CF0">
        <w:rPr>
          <w:rFonts w:ascii="Times New Roman" w:hAnsi="Times New Roman"/>
          <w:sz w:val="28"/>
          <w:szCs w:val="28"/>
        </w:rPr>
        <w:t xml:space="preserve">расходы планируется уменьшить на </w:t>
      </w:r>
      <w:r>
        <w:rPr>
          <w:rFonts w:ascii="Times New Roman" w:hAnsi="Times New Roman"/>
          <w:sz w:val="28"/>
          <w:szCs w:val="28"/>
        </w:rPr>
        <w:t>66,5</w:t>
      </w:r>
      <w:r w:rsidR="003B7CF0" w:rsidRPr="003B7CF0">
        <w:rPr>
          <w:rFonts w:ascii="Times New Roman" w:hAnsi="Times New Roman"/>
          <w:sz w:val="28"/>
          <w:szCs w:val="28"/>
        </w:rPr>
        <w:t xml:space="preserve"> тыс. рублей: расходы на выплаты муниципальным служащим у</w:t>
      </w:r>
      <w:r>
        <w:rPr>
          <w:rFonts w:ascii="Times New Roman" w:hAnsi="Times New Roman"/>
          <w:sz w:val="28"/>
          <w:szCs w:val="28"/>
        </w:rPr>
        <w:t>величатся</w:t>
      </w:r>
      <w:r w:rsidR="003B7CF0" w:rsidRPr="003B7CF0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48,3</w:t>
      </w:r>
      <w:r w:rsidR="003B7CF0" w:rsidRPr="003B7CF0">
        <w:rPr>
          <w:rFonts w:ascii="Times New Roman" w:hAnsi="Times New Roman"/>
          <w:sz w:val="28"/>
          <w:szCs w:val="28"/>
        </w:rPr>
        <w:t xml:space="preserve"> тыс. рублей, расходы на закупки товаров, работ, услуг увеличатся на </w:t>
      </w:r>
      <w:r>
        <w:rPr>
          <w:rFonts w:ascii="Times New Roman" w:hAnsi="Times New Roman"/>
          <w:sz w:val="28"/>
          <w:szCs w:val="28"/>
        </w:rPr>
        <w:t>192,2</w:t>
      </w:r>
      <w:r w:rsidR="003B7CF0" w:rsidRPr="003B7CF0">
        <w:rPr>
          <w:rFonts w:ascii="Times New Roman" w:hAnsi="Times New Roman"/>
          <w:sz w:val="28"/>
          <w:szCs w:val="28"/>
        </w:rPr>
        <w:t xml:space="preserve"> тыс. рублей, расходы на выплаты работникам, не являющимся муниципальными служащими, уменьшатся на </w:t>
      </w:r>
      <w:r>
        <w:rPr>
          <w:rFonts w:ascii="Times New Roman" w:hAnsi="Times New Roman"/>
          <w:sz w:val="28"/>
          <w:szCs w:val="28"/>
        </w:rPr>
        <w:t>307,0</w:t>
      </w:r>
      <w:r w:rsidR="003B7CF0" w:rsidRPr="003B7CF0">
        <w:rPr>
          <w:rFonts w:ascii="Times New Roman" w:hAnsi="Times New Roman"/>
          <w:sz w:val="28"/>
          <w:szCs w:val="28"/>
        </w:rPr>
        <w:t xml:space="preserve"> тыс. рублей.  </w:t>
      </w:r>
    </w:p>
    <w:p w:rsidR="0008260A" w:rsidRDefault="00D148E0" w:rsidP="00082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148E0">
        <w:rPr>
          <w:rFonts w:ascii="Times New Roman" w:hAnsi="Times New Roman"/>
          <w:sz w:val="28"/>
          <w:szCs w:val="28"/>
        </w:rPr>
        <w:t xml:space="preserve">- по </w:t>
      </w:r>
      <w:r w:rsidRPr="00D148E0">
        <w:rPr>
          <w:rFonts w:ascii="Times New Roman" w:hAnsi="Times New Roman"/>
          <w:sz w:val="28"/>
          <w:szCs w:val="28"/>
        </w:rPr>
        <w:t>подразде</w:t>
      </w:r>
      <w:r w:rsidRPr="00D148E0">
        <w:rPr>
          <w:rFonts w:ascii="Times New Roman" w:hAnsi="Times New Roman"/>
          <w:sz w:val="28"/>
          <w:szCs w:val="28"/>
        </w:rPr>
        <w:t>лу</w:t>
      </w:r>
      <w:r w:rsidRPr="00D148E0">
        <w:rPr>
          <w:rFonts w:ascii="Times New Roman" w:hAnsi="Times New Roman"/>
          <w:i/>
          <w:sz w:val="28"/>
          <w:szCs w:val="28"/>
        </w:rPr>
        <w:t xml:space="preserve"> 0111 «Резервные фонды»</w:t>
      </w:r>
      <w:r w:rsidRPr="00D148E0">
        <w:rPr>
          <w:rFonts w:ascii="Times New Roman" w:hAnsi="Times New Roman"/>
          <w:sz w:val="28"/>
          <w:szCs w:val="28"/>
        </w:rPr>
        <w:t xml:space="preserve"> </w:t>
      </w:r>
      <w:r w:rsidRPr="00D148E0">
        <w:rPr>
          <w:rFonts w:ascii="Times New Roman" w:hAnsi="Times New Roman"/>
          <w:sz w:val="28"/>
          <w:szCs w:val="28"/>
        </w:rPr>
        <w:t xml:space="preserve">предлагается исключить расходы (отсутствие потребности в расходах) на создание Резервного фонда </w:t>
      </w:r>
      <w:r w:rsidR="0043298D">
        <w:rPr>
          <w:rFonts w:ascii="Times New Roman" w:hAnsi="Times New Roman"/>
          <w:sz w:val="28"/>
          <w:szCs w:val="28"/>
        </w:rPr>
        <w:t>а</w:t>
      </w:r>
      <w:r w:rsidRPr="00D148E0">
        <w:rPr>
          <w:rFonts w:ascii="Times New Roman" w:hAnsi="Times New Roman"/>
          <w:sz w:val="28"/>
          <w:szCs w:val="28"/>
        </w:rPr>
        <w:t>дминистрации поселения в сумме 10,0 тыс. рублей</w:t>
      </w:r>
      <w:r w:rsidRPr="00D148E0">
        <w:rPr>
          <w:rFonts w:ascii="Times New Roman" w:hAnsi="Times New Roman"/>
          <w:sz w:val="28"/>
          <w:szCs w:val="28"/>
        </w:rPr>
        <w:t>;</w:t>
      </w:r>
    </w:p>
    <w:p w:rsidR="00D148E0" w:rsidRPr="00D148E0" w:rsidRDefault="00D148E0" w:rsidP="00D148E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</w:t>
      </w:r>
      <w:r w:rsidRPr="00D148E0">
        <w:rPr>
          <w:rFonts w:ascii="Times New Roman" w:hAnsi="Times New Roman"/>
          <w:sz w:val="28"/>
          <w:szCs w:val="28"/>
        </w:rPr>
        <w:t xml:space="preserve">о подразделу </w:t>
      </w:r>
      <w:r w:rsidRPr="00D148E0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 w:rsidRPr="00D148E0">
        <w:rPr>
          <w:rFonts w:ascii="Times New Roman" w:hAnsi="Times New Roman"/>
          <w:sz w:val="28"/>
          <w:szCs w:val="28"/>
        </w:rPr>
        <w:t>расходы у</w:t>
      </w:r>
      <w:r>
        <w:rPr>
          <w:rFonts w:ascii="Times New Roman" w:hAnsi="Times New Roman"/>
          <w:sz w:val="28"/>
          <w:szCs w:val="28"/>
        </w:rPr>
        <w:t>величатся</w:t>
      </w:r>
      <w:r w:rsidRPr="00D148E0">
        <w:rPr>
          <w:rFonts w:ascii="Times New Roman" w:hAnsi="Times New Roman"/>
          <w:sz w:val="28"/>
          <w:szCs w:val="28"/>
        </w:rPr>
        <w:t xml:space="preserve"> на 13</w:t>
      </w:r>
      <w:r>
        <w:rPr>
          <w:rFonts w:ascii="Times New Roman" w:hAnsi="Times New Roman"/>
          <w:sz w:val="28"/>
          <w:szCs w:val="28"/>
        </w:rPr>
        <w:t>,5</w:t>
      </w:r>
      <w:r w:rsidRPr="00D148E0">
        <w:rPr>
          <w:rFonts w:ascii="Times New Roman" w:hAnsi="Times New Roman"/>
          <w:sz w:val="28"/>
          <w:szCs w:val="28"/>
        </w:rPr>
        <w:t xml:space="preserve"> тыс. рублей</w:t>
      </w:r>
      <w:r w:rsidRPr="00D148E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12,4 тыс. рублей увеличатся расходы на выполнение других обязательств государства, на 1,1 тыс. рублей увеличатся  </w:t>
      </w:r>
      <w:r w:rsidRPr="00D148E0">
        <w:rPr>
          <w:rFonts w:ascii="Times New Roman" w:hAnsi="Times New Roman"/>
          <w:sz w:val="28"/>
          <w:szCs w:val="28"/>
        </w:rPr>
        <w:t xml:space="preserve"> расход</w:t>
      </w:r>
      <w:r>
        <w:rPr>
          <w:rFonts w:ascii="Times New Roman" w:hAnsi="Times New Roman"/>
          <w:sz w:val="28"/>
          <w:szCs w:val="28"/>
        </w:rPr>
        <w:t>ы</w:t>
      </w:r>
      <w:r w:rsidRPr="00D148E0">
        <w:rPr>
          <w:rFonts w:ascii="Times New Roman" w:hAnsi="Times New Roman"/>
          <w:sz w:val="28"/>
          <w:szCs w:val="28"/>
        </w:rPr>
        <w:t xml:space="preserve"> на погашение задолженности по </w:t>
      </w:r>
      <w:r>
        <w:rPr>
          <w:rFonts w:ascii="Times New Roman" w:hAnsi="Times New Roman"/>
          <w:sz w:val="28"/>
          <w:szCs w:val="28"/>
        </w:rPr>
        <w:t xml:space="preserve">исполнительным листам, судебным решениям (исполнение судебных актов). </w:t>
      </w:r>
      <w:r w:rsidRPr="00D148E0">
        <w:rPr>
          <w:rFonts w:ascii="Times New Roman" w:hAnsi="Times New Roman"/>
          <w:sz w:val="28"/>
          <w:szCs w:val="28"/>
        </w:rPr>
        <w:t xml:space="preserve"> </w:t>
      </w:r>
    </w:p>
    <w:p w:rsidR="00116F59" w:rsidRPr="00116F59" w:rsidRDefault="00116F59" w:rsidP="00116F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16F59">
        <w:rPr>
          <w:rFonts w:ascii="Times New Roman" w:hAnsi="Times New Roman"/>
          <w:sz w:val="28"/>
          <w:szCs w:val="28"/>
          <w:lang w:eastAsia="ru-RU"/>
        </w:rPr>
        <w:t xml:space="preserve">Объем расходов, запланированный в проекте бюджета на оплату труда выборных должностных лиц местного самоуправления, осуществляющих свои полномочия на постоянной основе, муниципальных служащих, на 2023 год составит </w:t>
      </w:r>
      <w:r>
        <w:rPr>
          <w:rFonts w:ascii="Times New Roman" w:hAnsi="Times New Roman"/>
          <w:sz w:val="28"/>
          <w:szCs w:val="28"/>
          <w:lang w:eastAsia="ru-RU"/>
        </w:rPr>
        <w:t>2187,1</w:t>
      </w:r>
      <w:r w:rsidRPr="00116F59">
        <w:rPr>
          <w:rFonts w:ascii="Times New Roman" w:hAnsi="Times New Roman"/>
          <w:sz w:val="28"/>
          <w:szCs w:val="28"/>
          <w:lang w:eastAsia="ru-RU"/>
        </w:rPr>
        <w:t xml:space="preserve"> тыс. рублей, что соответствует нормативу </w:t>
      </w:r>
      <w:r>
        <w:rPr>
          <w:rFonts w:ascii="Times New Roman" w:hAnsi="Times New Roman"/>
          <w:sz w:val="28"/>
          <w:szCs w:val="28"/>
          <w:lang w:eastAsia="ru-RU"/>
        </w:rPr>
        <w:t>2277,0</w:t>
      </w:r>
      <w:r w:rsidRPr="00116F59">
        <w:rPr>
          <w:rFonts w:ascii="Times New Roman" w:hAnsi="Times New Roman"/>
          <w:sz w:val="28"/>
          <w:szCs w:val="28"/>
          <w:lang w:eastAsia="ru-RU"/>
        </w:rPr>
        <w:t xml:space="preserve">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сельских поселений </w:t>
      </w:r>
      <w:r w:rsidRPr="00116F59">
        <w:rPr>
          <w:rFonts w:ascii="Times New Roman" w:hAnsi="Times New Roman"/>
          <w:sz w:val="28"/>
          <w:szCs w:val="28"/>
          <w:lang w:eastAsia="ru-RU"/>
        </w:rPr>
        <w:t xml:space="preserve">численностью населения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от 1 </w:t>
      </w:r>
      <w:r w:rsidRPr="00116F59">
        <w:rPr>
          <w:rFonts w:ascii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16F59">
        <w:rPr>
          <w:rFonts w:ascii="Times New Roman" w:hAnsi="Times New Roman"/>
          <w:sz w:val="28"/>
          <w:szCs w:val="28"/>
          <w:lang w:eastAsia="ru-RU"/>
        </w:rPr>
        <w:t>,5 тыс. человек.</w:t>
      </w:r>
    </w:p>
    <w:p w:rsidR="00116F59" w:rsidRPr="00116F59" w:rsidRDefault="00116F59" w:rsidP="00116F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16F59">
        <w:rPr>
          <w:rFonts w:ascii="Times New Roman" w:hAnsi="Times New Roman"/>
          <w:sz w:val="28"/>
          <w:szCs w:val="28"/>
        </w:rPr>
        <w:t xml:space="preserve">Проектом решения предлагается произвести перераспределение бюджетных ассигнований между видами расходов внутри подраздела </w:t>
      </w:r>
      <w:r w:rsidRPr="00116F59">
        <w:rPr>
          <w:rFonts w:ascii="Times New Roman" w:hAnsi="Times New Roman"/>
          <w:i/>
          <w:sz w:val="28"/>
          <w:szCs w:val="28"/>
        </w:rPr>
        <w:t xml:space="preserve">0203 «Мобилизационная и вневойсковая подготовка»: </w:t>
      </w:r>
      <w:r w:rsidRPr="00116F59">
        <w:rPr>
          <w:rFonts w:ascii="Times New Roman" w:hAnsi="Times New Roman"/>
          <w:sz w:val="28"/>
          <w:szCs w:val="28"/>
        </w:rPr>
        <w:t xml:space="preserve">расходы на выплаты персоналу уменьшатся на </w:t>
      </w:r>
      <w:r>
        <w:rPr>
          <w:rFonts w:ascii="Times New Roman" w:hAnsi="Times New Roman"/>
          <w:sz w:val="28"/>
          <w:szCs w:val="28"/>
        </w:rPr>
        <w:t>8,5</w:t>
      </w:r>
      <w:r w:rsidRPr="00116F59">
        <w:rPr>
          <w:rFonts w:ascii="Times New Roman" w:hAnsi="Times New Roman"/>
          <w:sz w:val="28"/>
          <w:szCs w:val="28"/>
        </w:rPr>
        <w:t xml:space="preserve"> тыс. рублей, соответственно расходы на закупки </w:t>
      </w:r>
      <w:r w:rsidRPr="00116F59">
        <w:rPr>
          <w:rFonts w:ascii="Times New Roman" w:hAnsi="Times New Roman"/>
          <w:sz w:val="28"/>
          <w:szCs w:val="28"/>
        </w:rPr>
        <w:lastRenderedPageBreak/>
        <w:t xml:space="preserve">увеличатся на </w:t>
      </w:r>
      <w:r>
        <w:rPr>
          <w:rFonts w:ascii="Times New Roman" w:hAnsi="Times New Roman"/>
          <w:sz w:val="28"/>
          <w:szCs w:val="28"/>
        </w:rPr>
        <w:t>8,5</w:t>
      </w:r>
      <w:r w:rsidRPr="00116F59">
        <w:rPr>
          <w:rFonts w:ascii="Times New Roman" w:hAnsi="Times New Roman"/>
          <w:sz w:val="28"/>
          <w:szCs w:val="28"/>
        </w:rPr>
        <w:t xml:space="preserve"> тыс. рублей. В целом объем</w:t>
      </w:r>
      <w:r>
        <w:rPr>
          <w:rFonts w:ascii="Times New Roman" w:hAnsi="Times New Roman"/>
          <w:sz w:val="28"/>
          <w:szCs w:val="28"/>
        </w:rPr>
        <w:t>ы</w:t>
      </w:r>
      <w:r w:rsidRPr="00116F59">
        <w:rPr>
          <w:rFonts w:ascii="Times New Roman" w:hAnsi="Times New Roman"/>
          <w:sz w:val="28"/>
          <w:szCs w:val="28"/>
        </w:rPr>
        <w:t xml:space="preserve"> расходов по подразделу 0203 и разделу 02 </w:t>
      </w:r>
      <w:r w:rsidRPr="00116F59">
        <w:rPr>
          <w:rFonts w:ascii="Times New Roman" w:hAnsi="Times New Roman"/>
          <w:b/>
          <w:sz w:val="28"/>
          <w:szCs w:val="28"/>
        </w:rPr>
        <w:t>«Национальная оборона»</w:t>
      </w:r>
      <w:r w:rsidRPr="00116F59">
        <w:rPr>
          <w:rFonts w:ascii="Times New Roman" w:hAnsi="Times New Roman"/>
          <w:sz w:val="28"/>
          <w:szCs w:val="28"/>
        </w:rPr>
        <w:t xml:space="preserve"> не изменятся.  </w:t>
      </w:r>
    </w:p>
    <w:p w:rsidR="00116F59" w:rsidRPr="00116F59" w:rsidRDefault="00116F59" w:rsidP="00116F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16F59">
        <w:rPr>
          <w:rFonts w:ascii="Times New Roman" w:hAnsi="Times New Roman"/>
          <w:sz w:val="28"/>
          <w:szCs w:val="28"/>
        </w:rPr>
        <w:t xml:space="preserve">По разделу </w:t>
      </w:r>
      <w:r w:rsidRPr="00116F59">
        <w:rPr>
          <w:rFonts w:ascii="Times New Roman" w:hAnsi="Times New Roman"/>
          <w:b/>
          <w:sz w:val="28"/>
          <w:szCs w:val="28"/>
        </w:rPr>
        <w:t>05</w:t>
      </w:r>
      <w:r w:rsidRPr="00116F59">
        <w:rPr>
          <w:rFonts w:ascii="Times New Roman" w:hAnsi="Times New Roman"/>
          <w:sz w:val="28"/>
          <w:szCs w:val="28"/>
        </w:rPr>
        <w:t xml:space="preserve"> </w:t>
      </w:r>
      <w:r w:rsidRPr="00116F59">
        <w:rPr>
          <w:rFonts w:ascii="Times New Roman" w:hAnsi="Times New Roman"/>
          <w:b/>
          <w:sz w:val="28"/>
          <w:szCs w:val="28"/>
        </w:rPr>
        <w:t xml:space="preserve">«Жилищно-коммунальное хозяйство» </w:t>
      </w:r>
      <w:r w:rsidRPr="00116F59">
        <w:rPr>
          <w:rFonts w:ascii="Times New Roman" w:hAnsi="Times New Roman"/>
          <w:sz w:val="28"/>
          <w:szCs w:val="28"/>
        </w:rPr>
        <w:t>объем бюджетных ассигнований</w:t>
      </w:r>
      <w:r w:rsidRPr="00116F59">
        <w:rPr>
          <w:rFonts w:ascii="Times New Roman" w:hAnsi="Times New Roman"/>
          <w:b/>
          <w:sz w:val="28"/>
          <w:szCs w:val="28"/>
        </w:rPr>
        <w:t xml:space="preserve"> </w:t>
      </w:r>
      <w:r w:rsidRPr="00116F59">
        <w:rPr>
          <w:rFonts w:ascii="Times New Roman" w:hAnsi="Times New Roman"/>
          <w:sz w:val="28"/>
          <w:szCs w:val="28"/>
        </w:rPr>
        <w:t xml:space="preserve">предлагается увеличить на </w:t>
      </w:r>
      <w:r>
        <w:rPr>
          <w:rFonts w:ascii="Times New Roman" w:hAnsi="Times New Roman"/>
          <w:sz w:val="28"/>
          <w:szCs w:val="28"/>
        </w:rPr>
        <w:t>153,8</w:t>
      </w:r>
      <w:r w:rsidRPr="00116F5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 Р</w:t>
      </w:r>
      <w:r w:rsidRPr="00116F59">
        <w:rPr>
          <w:rFonts w:ascii="Times New Roman" w:hAnsi="Times New Roman"/>
          <w:sz w:val="28"/>
          <w:szCs w:val="28"/>
        </w:rPr>
        <w:t>асходы</w:t>
      </w:r>
      <w:r w:rsidRPr="00116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16F59">
        <w:rPr>
          <w:rFonts w:ascii="Times New Roman" w:hAnsi="Times New Roman"/>
          <w:sz w:val="28"/>
          <w:szCs w:val="28"/>
        </w:rPr>
        <w:t>редлагается</w:t>
      </w:r>
      <w:r w:rsidRPr="00116F59">
        <w:rPr>
          <w:rFonts w:ascii="Times New Roman" w:hAnsi="Times New Roman"/>
          <w:sz w:val="28"/>
          <w:szCs w:val="28"/>
        </w:rPr>
        <w:t xml:space="preserve"> </w:t>
      </w:r>
      <w:r w:rsidRPr="00116F59">
        <w:rPr>
          <w:rFonts w:ascii="Times New Roman" w:hAnsi="Times New Roman"/>
          <w:sz w:val="28"/>
          <w:szCs w:val="28"/>
        </w:rPr>
        <w:t>увеличить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116F59">
        <w:rPr>
          <w:rFonts w:ascii="Times New Roman" w:hAnsi="Times New Roman"/>
          <w:sz w:val="28"/>
          <w:szCs w:val="28"/>
        </w:rPr>
        <w:t xml:space="preserve"> подразделу </w:t>
      </w:r>
      <w:r w:rsidRPr="00116F59">
        <w:rPr>
          <w:rFonts w:ascii="Times New Roman" w:hAnsi="Times New Roman"/>
          <w:i/>
          <w:sz w:val="28"/>
          <w:szCs w:val="28"/>
        </w:rPr>
        <w:t>0503 «Благоустройство»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116F59">
        <w:rPr>
          <w:rFonts w:ascii="Times New Roman" w:hAnsi="Times New Roman"/>
          <w:sz w:val="28"/>
          <w:szCs w:val="28"/>
        </w:rPr>
        <w:t>в том числе</w:t>
      </w:r>
      <w:r w:rsidRPr="00116F59">
        <w:rPr>
          <w:rFonts w:ascii="Times New Roman" w:hAnsi="Times New Roman"/>
          <w:sz w:val="28"/>
          <w:szCs w:val="28"/>
        </w:rPr>
        <w:t xml:space="preserve">: на организацию уличного освещения (за счет собственных средств поселения) </w:t>
      </w:r>
      <w:r>
        <w:rPr>
          <w:rFonts w:ascii="Times New Roman" w:hAnsi="Times New Roman"/>
          <w:sz w:val="28"/>
          <w:szCs w:val="28"/>
        </w:rPr>
        <w:t xml:space="preserve">увеличить </w:t>
      </w:r>
      <w:r w:rsidRPr="00116F5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380,6</w:t>
      </w:r>
      <w:r w:rsidRPr="00116F59">
        <w:rPr>
          <w:rFonts w:ascii="Times New Roman" w:hAnsi="Times New Roman"/>
          <w:sz w:val="28"/>
          <w:szCs w:val="28"/>
        </w:rPr>
        <w:t xml:space="preserve"> тыс. рублей, на прочие мероприятия по благоустройству </w:t>
      </w:r>
      <w:r>
        <w:rPr>
          <w:rFonts w:ascii="Times New Roman" w:hAnsi="Times New Roman"/>
          <w:sz w:val="28"/>
          <w:szCs w:val="28"/>
        </w:rPr>
        <w:t xml:space="preserve">поселений уменьшить на 217,5 </w:t>
      </w:r>
      <w:r w:rsidRPr="00116F59">
        <w:rPr>
          <w:rFonts w:ascii="Times New Roman" w:hAnsi="Times New Roman"/>
          <w:sz w:val="28"/>
          <w:szCs w:val="28"/>
        </w:rPr>
        <w:t xml:space="preserve">тыс. рублей, на </w:t>
      </w:r>
      <w:r>
        <w:rPr>
          <w:rFonts w:ascii="Times New Roman" w:hAnsi="Times New Roman"/>
          <w:sz w:val="28"/>
          <w:szCs w:val="28"/>
        </w:rPr>
        <w:t xml:space="preserve">организацию и содержание </w:t>
      </w:r>
      <w:r w:rsidRPr="00116F59">
        <w:rPr>
          <w:rFonts w:ascii="Times New Roman" w:hAnsi="Times New Roman"/>
          <w:sz w:val="28"/>
          <w:szCs w:val="28"/>
        </w:rPr>
        <w:t xml:space="preserve">мест захоронения </w:t>
      </w:r>
      <w:r>
        <w:rPr>
          <w:rFonts w:ascii="Times New Roman" w:hAnsi="Times New Roman"/>
          <w:sz w:val="28"/>
          <w:szCs w:val="28"/>
        </w:rPr>
        <w:t xml:space="preserve">уменьшить </w:t>
      </w:r>
      <w:r w:rsidRPr="00116F59">
        <w:rPr>
          <w:rFonts w:ascii="Times New Roman" w:hAnsi="Times New Roman"/>
          <w:sz w:val="28"/>
          <w:szCs w:val="28"/>
        </w:rPr>
        <w:t xml:space="preserve">на </w:t>
      </w:r>
      <w:r w:rsidR="00C65597">
        <w:rPr>
          <w:rFonts w:ascii="Times New Roman" w:hAnsi="Times New Roman"/>
          <w:sz w:val="28"/>
          <w:szCs w:val="28"/>
        </w:rPr>
        <w:t>9,3</w:t>
      </w:r>
      <w:r w:rsidRPr="00116F59">
        <w:rPr>
          <w:rFonts w:ascii="Times New Roman" w:hAnsi="Times New Roman"/>
          <w:sz w:val="28"/>
          <w:szCs w:val="28"/>
        </w:rPr>
        <w:t xml:space="preserve"> тыс. рублей </w:t>
      </w:r>
    </w:p>
    <w:p w:rsidR="00C65597" w:rsidRDefault="00C65597" w:rsidP="00082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расходы по разделу </w:t>
      </w:r>
      <w:r w:rsidRPr="00C65597">
        <w:rPr>
          <w:rFonts w:ascii="Times New Roman" w:hAnsi="Times New Roman"/>
          <w:b/>
          <w:sz w:val="28"/>
          <w:szCs w:val="28"/>
        </w:rPr>
        <w:t>07 «Образование»</w:t>
      </w:r>
      <w:r>
        <w:rPr>
          <w:rFonts w:ascii="Times New Roman" w:hAnsi="Times New Roman"/>
          <w:sz w:val="28"/>
          <w:szCs w:val="28"/>
        </w:rPr>
        <w:t xml:space="preserve"> уменьшаются на 2,3 тыс. рублей (подраздел </w:t>
      </w:r>
      <w:r w:rsidRPr="00C65597">
        <w:rPr>
          <w:rFonts w:ascii="Times New Roman" w:hAnsi="Times New Roman"/>
          <w:i/>
          <w:sz w:val="28"/>
          <w:szCs w:val="28"/>
        </w:rPr>
        <w:t>0707 «Молодежная политика»</w:t>
      </w:r>
      <w:r w:rsidRPr="00C65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проведение мероприятий для детей и молодежи). </w:t>
      </w:r>
    </w:p>
    <w:p w:rsidR="0008260A" w:rsidRPr="00C65597" w:rsidRDefault="00C65597" w:rsidP="000826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</w:t>
      </w:r>
      <w:r w:rsidRPr="00C65597">
        <w:rPr>
          <w:rFonts w:ascii="Times New Roman" w:hAnsi="Times New Roman"/>
          <w:b/>
          <w:sz w:val="28"/>
          <w:szCs w:val="28"/>
        </w:rPr>
        <w:t xml:space="preserve">11 «Физическая культура и спорт» </w:t>
      </w:r>
      <w:r w:rsidRPr="00C65597">
        <w:rPr>
          <w:rFonts w:ascii="Times New Roman" w:hAnsi="Times New Roman"/>
          <w:sz w:val="28"/>
          <w:szCs w:val="28"/>
        </w:rPr>
        <w:t xml:space="preserve">расходы предлагается увеличить на 25,0 тыс. рублей </w:t>
      </w:r>
      <w:r>
        <w:rPr>
          <w:rFonts w:ascii="Times New Roman" w:hAnsi="Times New Roman"/>
          <w:sz w:val="28"/>
          <w:szCs w:val="28"/>
        </w:rPr>
        <w:t xml:space="preserve">(подраздел </w:t>
      </w:r>
      <w:r w:rsidRPr="00C65597">
        <w:rPr>
          <w:rFonts w:ascii="Times New Roman" w:hAnsi="Times New Roman"/>
          <w:i/>
          <w:sz w:val="28"/>
          <w:szCs w:val="28"/>
        </w:rPr>
        <w:t>1101 «Физическая культура»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C65597">
        <w:rPr>
          <w:rFonts w:ascii="Times New Roman" w:hAnsi="Times New Roman"/>
          <w:sz w:val="28"/>
          <w:szCs w:val="28"/>
        </w:rPr>
        <w:t>мероприятия в области спорта и физической культуры).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C65597">
        <w:rPr>
          <w:rFonts w:ascii="Times New Roman" w:hAnsi="Times New Roman"/>
          <w:i/>
          <w:sz w:val="28"/>
          <w:szCs w:val="28"/>
        </w:rPr>
        <w:t xml:space="preserve"> </w:t>
      </w:r>
    </w:p>
    <w:p w:rsidR="00C65597" w:rsidRDefault="001A3ED5" w:rsidP="00C655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65597">
        <w:rPr>
          <w:rFonts w:ascii="Times New Roman" w:hAnsi="Times New Roman"/>
          <w:sz w:val="28"/>
          <w:szCs w:val="28"/>
        </w:rPr>
        <w:t xml:space="preserve"> </w:t>
      </w:r>
      <w:r w:rsidR="00C65597" w:rsidRPr="00C65597">
        <w:rPr>
          <w:rFonts w:ascii="Times New Roman" w:hAnsi="Times New Roman"/>
          <w:sz w:val="28"/>
          <w:szCs w:val="28"/>
        </w:rPr>
        <w:t xml:space="preserve"> </w:t>
      </w:r>
      <w:r w:rsidR="00C65597">
        <w:rPr>
          <w:rFonts w:ascii="Times New Roman" w:hAnsi="Times New Roman"/>
          <w:sz w:val="28"/>
          <w:szCs w:val="28"/>
        </w:rPr>
        <w:t xml:space="preserve"> В результате внесенных изменений в доходную и расходную части бюджета об</w:t>
      </w:r>
      <w:r w:rsidR="00C65597" w:rsidRPr="00C65597">
        <w:rPr>
          <w:rFonts w:ascii="Times New Roman" w:hAnsi="Times New Roman"/>
          <w:sz w:val="28"/>
          <w:szCs w:val="28"/>
        </w:rPr>
        <w:t xml:space="preserve">ъем дефицита бюджета составит </w:t>
      </w:r>
      <w:r w:rsidR="00C65597">
        <w:rPr>
          <w:rFonts w:ascii="Times New Roman" w:hAnsi="Times New Roman"/>
          <w:sz w:val="28"/>
          <w:szCs w:val="28"/>
        </w:rPr>
        <w:t>148,2</w:t>
      </w:r>
      <w:r w:rsidR="00C65597" w:rsidRPr="00C65597">
        <w:rPr>
          <w:rFonts w:ascii="Times New Roman" w:hAnsi="Times New Roman"/>
          <w:sz w:val="28"/>
          <w:szCs w:val="28"/>
        </w:rPr>
        <w:t xml:space="preserve"> тыс. рублей. Утвержденный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01.01.2023 года.</w:t>
      </w:r>
    </w:p>
    <w:p w:rsidR="00C65597" w:rsidRPr="00C65597" w:rsidRDefault="0043298D" w:rsidP="004329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Раз</w:t>
      </w:r>
      <w:r w:rsidRPr="0043298D">
        <w:rPr>
          <w:rFonts w:ascii="Times New Roman" w:hAnsi="Times New Roman"/>
          <w:sz w:val="28"/>
          <w:szCs w:val="28"/>
        </w:rPr>
        <w:t>мер резервного фонда</w:t>
      </w:r>
      <w:r>
        <w:rPr>
          <w:rFonts w:ascii="Times New Roman" w:hAnsi="Times New Roman"/>
          <w:sz w:val="28"/>
          <w:szCs w:val="28"/>
        </w:rPr>
        <w:t xml:space="preserve"> администрации поселения</w:t>
      </w:r>
      <w:r w:rsidRPr="0043298D">
        <w:rPr>
          <w:rFonts w:ascii="Times New Roman" w:hAnsi="Times New Roman"/>
          <w:sz w:val="28"/>
          <w:szCs w:val="28"/>
        </w:rPr>
        <w:t xml:space="preserve"> составит 0,0 рублей, соответствующие изменения внесены в подпункт 1 пункта 7 решения от 1</w:t>
      </w:r>
      <w:r>
        <w:rPr>
          <w:rFonts w:ascii="Times New Roman" w:hAnsi="Times New Roman"/>
          <w:sz w:val="28"/>
          <w:szCs w:val="28"/>
        </w:rPr>
        <w:t>4</w:t>
      </w:r>
      <w:r w:rsidRPr="0043298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43298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43298D">
        <w:rPr>
          <w:rFonts w:ascii="Times New Roman" w:hAnsi="Times New Roman"/>
          <w:sz w:val="28"/>
          <w:szCs w:val="28"/>
        </w:rPr>
        <w:t>«О бюджете сельского поселения Анхимовское на 202</w:t>
      </w:r>
      <w:r>
        <w:rPr>
          <w:rFonts w:ascii="Times New Roman" w:hAnsi="Times New Roman"/>
          <w:sz w:val="28"/>
          <w:szCs w:val="28"/>
        </w:rPr>
        <w:t>3</w:t>
      </w:r>
      <w:r w:rsidRPr="0043298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43298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5 годов».     </w:t>
      </w:r>
    </w:p>
    <w:p w:rsidR="0077445B" w:rsidRDefault="00C65597" w:rsidP="0043298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597">
        <w:rPr>
          <w:rFonts w:ascii="Times New Roman" w:hAnsi="Times New Roman"/>
          <w:sz w:val="28"/>
          <w:szCs w:val="28"/>
        </w:rPr>
        <w:t xml:space="preserve"> </w:t>
      </w:r>
      <w:r w:rsidR="0043298D">
        <w:rPr>
          <w:rFonts w:ascii="Times New Roman" w:hAnsi="Times New Roman"/>
          <w:sz w:val="28"/>
          <w:szCs w:val="28"/>
        </w:rPr>
        <w:t xml:space="preserve">   </w:t>
      </w:r>
      <w:r w:rsidRPr="00C65597">
        <w:rPr>
          <w:rFonts w:ascii="Times New Roman" w:hAnsi="Times New Roman"/>
          <w:sz w:val="28"/>
          <w:szCs w:val="28"/>
        </w:rPr>
        <w:t xml:space="preserve">    </w:t>
      </w:r>
      <w:r w:rsidR="001A3ED5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муниципальной программ</w:t>
      </w:r>
      <w:r w:rsidR="001A3ED5">
        <w:rPr>
          <w:rFonts w:ascii="Times New Roman" w:hAnsi="Times New Roman"/>
          <w:sz w:val="28"/>
          <w:szCs w:val="28"/>
        </w:rPr>
        <w:t>ы «Развитие территории сельского поселения Анхимовское на 2021-2025 годы» на 2023 год. Общий объем средств, направляемый на реализацию муниципальных программ в 2023 году, у</w:t>
      </w:r>
      <w:r w:rsidR="0043298D">
        <w:rPr>
          <w:rFonts w:ascii="Times New Roman" w:hAnsi="Times New Roman"/>
          <w:sz w:val="28"/>
          <w:szCs w:val="28"/>
        </w:rPr>
        <w:t>величится н</w:t>
      </w:r>
      <w:r w:rsidR="001A3ED5">
        <w:rPr>
          <w:rFonts w:ascii="Times New Roman" w:hAnsi="Times New Roman"/>
          <w:sz w:val="28"/>
          <w:szCs w:val="28"/>
        </w:rPr>
        <w:t xml:space="preserve">а </w:t>
      </w:r>
      <w:r w:rsidR="0043298D">
        <w:rPr>
          <w:rFonts w:ascii="Times New Roman" w:hAnsi="Times New Roman"/>
          <w:sz w:val="28"/>
          <w:szCs w:val="28"/>
        </w:rPr>
        <w:t>176,5</w:t>
      </w:r>
      <w:r w:rsidR="001A3ED5">
        <w:rPr>
          <w:rFonts w:ascii="Times New Roman" w:hAnsi="Times New Roman"/>
          <w:sz w:val="28"/>
          <w:szCs w:val="28"/>
        </w:rPr>
        <w:t xml:space="preserve"> тыс. рублей и составит 1</w:t>
      </w:r>
      <w:r w:rsidR="0043298D">
        <w:rPr>
          <w:rFonts w:ascii="Times New Roman" w:hAnsi="Times New Roman"/>
          <w:sz w:val="28"/>
          <w:szCs w:val="28"/>
        </w:rPr>
        <w:t>885,1</w:t>
      </w:r>
      <w:r w:rsidR="001A3ED5">
        <w:rPr>
          <w:rFonts w:ascii="Times New Roman" w:hAnsi="Times New Roman"/>
          <w:sz w:val="28"/>
          <w:szCs w:val="28"/>
        </w:rPr>
        <w:t xml:space="preserve"> тыс. рублей, или 2</w:t>
      </w:r>
      <w:r w:rsidR="0043298D">
        <w:rPr>
          <w:rFonts w:ascii="Times New Roman" w:hAnsi="Times New Roman"/>
          <w:sz w:val="28"/>
          <w:szCs w:val="28"/>
        </w:rPr>
        <w:t>1,8</w:t>
      </w:r>
      <w:r w:rsidR="001A3ED5">
        <w:rPr>
          <w:rFonts w:ascii="Times New Roman" w:hAnsi="Times New Roman"/>
          <w:sz w:val="28"/>
          <w:szCs w:val="28"/>
        </w:rPr>
        <w:t xml:space="preserve"> % от общего об</w:t>
      </w:r>
      <w:r w:rsidR="001A3ED5">
        <w:rPr>
          <w:rFonts w:ascii="Times New Roman" w:hAnsi="Times New Roman"/>
          <w:sz w:val="28"/>
          <w:szCs w:val="28"/>
        </w:rPr>
        <w:t>ъема расходов бюджета поселения на 2023 год.</w:t>
      </w:r>
      <w:r w:rsidR="001A3ED5">
        <w:rPr>
          <w:rFonts w:ascii="Times New Roman" w:hAnsi="Times New Roman"/>
          <w:iCs/>
          <w:sz w:val="28"/>
          <w:szCs w:val="28"/>
        </w:rPr>
        <w:t xml:space="preserve"> </w:t>
      </w:r>
    </w:p>
    <w:p w:rsidR="0077445B" w:rsidRDefault="001A3ED5" w:rsidP="0043298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внесены соответствующие изменения в приложения к решению от 14.12.2022 года № 16 «О бюджете сельского поселения Анхимовское на 2023 год и плановый период 2024 и 2025 годов».      </w:t>
      </w:r>
    </w:p>
    <w:p w:rsidR="0077445B" w:rsidRDefault="001A3ED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Выводы и предложения.</w:t>
      </w:r>
    </w:p>
    <w:p w:rsidR="0077445B" w:rsidRDefault="001A3E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Представленный проект решения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</w:t>
      </w:r>
      <w:r>
        <w:rPr>
          <w:rFonts w:ascii="Times New Roman" w:hAnsi="Times New Roman"/>
          <w:sz w:val="28"/>
          <w:szCs w:val="28"/>
        </w:rPr>
        <w:t xml:space="preserve">ии», Положению о бюджетном процессе в сельском поселении Анхимовское. </w:t>
      </w:r>
    </w:p>
    <w:p w:rsidR="0077445B" w:rsidRDefault="001A3ED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Внесение изменений в решение о бюджете поселения является обоснованным. Ревизионная комиссия ВМР рекомендует представленный проект </w:t>
      </w:r>
      <w:r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77445B" w:rsidRDefault="001A3E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</w:t>
      </w:r>
      <w:r>
        <w:rPr>
          <w:rFonts w:ascii="Times New Roman" w:hAnsi="Times New Roman"/>
          <w:sz w:val="28"/>
          <w:szCs w:val="28"/>
        </w:rPr>
        <w:t>и                                                   О.Е. Нестерова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445B" w:rsidRDefault="007744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445B" w:rsidRDefault="007744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445B" w:rsidRDefault="007744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445B" w:rsidRDefault="0077445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7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D5" w:rsidRDefault="001A3ED5">
      <w:pPr>
        <w:spacing w:after="0" w:line="240" w:lineRule="auto"/>
      </w:pPr>
      <w:r>
        <w:separator/>
      </w:r>
    </w:p>
  </w:endnote>
  <w:endnote w:type="continuationSeparator" w:id="0">
    <w:p w:rsidR="001A3ED5" w:rsidRDefault="001A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D5" w:rsidRDefault="001A3ED5">
      <w:pPr>
        <w:spacing w:after="0" w:line="240" w:lineRule="auto"/>
      </w:pPr>
      <w:r>
        <w:separator/>
      </w:r>
    </w:p>
  </w:footnote>
  <w:footnote w:type="continuationSeparator" w:id="0">
    <w:p w:rsidR="001A3ED5" w:rsidRDefault="001A3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14605"/>
    <w:multiLevelType w:val="hybridMultilevel"/>
    <w:tmpl w:val="FB9AEB26"/>
    <w:lvl w:ilvl="0" w:tplc="AD3428A0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AF8E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02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44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5F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CF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69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69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49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5B"/>
    <w:rsid w:val="0008260A"/>
    <w:rsid w:val="00116F59"/>
    <w:rsid w:val="001A3ED5"/>
    <w:rsid w:val="003B7CF0"/>
    <w:rsid w:val="0043298D"/>
    <w:rsid w:val="0077445B"/>
    <w:rsid w:val="00B45DDA"/>
    <w:rsid w:val="00C65597"/>
    <w:rsid w:val="00D1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030BA-0AEA-497E-9E13-C0DCA8F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f2"/>
    <w:uiPriority w:val="59"/>
    <w:rsid w:val="000826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6AEB0-3DD6-4035-8840-D3252E35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95</cp:revision>
  <cp:lastPrinted>2023-11-22T14:46:00Z</cp:lastPrinted>
  <dcterms:created xsi:type="dcterms:W3CDTF">2018-05-17T09:59:00Z</dcterms:created>
  <dcterms:modified xsi:type="dcterms:W3CDTF">2023-11-22T14:47:00Z</dcterms:modified>
</cp:coreProperties>
</file>