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</w:r>
      <w:r/>
    </w:p>
    <w:p>
      <w:pPr>
        <w:jc w:val="center"/>
        <w:rPr>
          <w:lang w:eastAsia="ru-RU"/>
        </w:rPr>
      </w:pPr>
      <w:r>
        <w:rPr>
          <w:lang w:eastAsia="ru-RU"/>
        </w:rPr>
      </w:r>
      <w:r/>
    </w:p>
    <w:p>
      <w:pPr>
        <w:jc w:val="center"/>
        <w:spacing w:before="40" w:line="233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/>
    </w:p>
    <w:p>
      <w:pPr>
        <w:jc w:val="center"/>
        <w:spacing w:before="40" w:line="233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/>
    </w:p>
    <w:p>
      <w:pPr>
        <w:pStyle w:val="642"/>
        <w:jc w:val="center"/>
      </w:pPr>
      <w:r>
        <w:t xml:space="preserve">тел. (81746)</w:t>
      </w:r>
      <w:r>
        <w:t xml:space="preserve"> </w:t>
      </w:r>
      <w:r>
        <w:t xml:space="preserve">2-22-03</w:t>
      </w:r>
      <w:r>
        <w:t xml:space="preserve">,</w:t>
      </w:r>
      <w:r>
        <w:t xml:space="preserve"> </w:t>
      </w:r>
      <w:r>
        <w:t xml:space="preserve">факс (81746) ______,</w:t>
      </w:r>
      <w:r>
        <w:t xml:space="preserve">   </w:t>
      </w:r>
      <w:r>
        <w:t xml:space="preserve">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jc w:val="center"/>
        <w:spacing w:before="40" w:line="233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/>
    </w:p>
    <w:p>
      <w:pPr>
        <w:ind w:firstLine="709"/>
        <w:jc w:val="center"/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/>
          <w:b/>
          <w:sz w:val="28"/>
          <w:szCs w:val="28"/>
        </w:rPr>
        <w:t xml:space="preserve">решени</w:t>
      </w:r>
      <w:r>
        <w:rPr>
          <w:rFonts w:ascii="Times New Roman" w:hAnsi="Times New Roman"/>
          <w:b/>
          <w:sz w:val="28"/>
          <w:szCs w:val="28"/>
        </w:rPr>
        <w:t xml:space="preserve">я</w:t>
      </w:r>
      <w:r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Алмозерское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ind w:firstLine="709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09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г. Вытегра</w:t>
      </w:r>
      <w:r/>
    </w:p>
    <w:p>
      <w:pPr>
        <w:ind w:firstLine="567"/>
        <w:jc w:val="both"/>
        <w:spacing w:after="120" w:line="240" w:lineRule="auto"/>
        <w:tabs>
          <w:tab w:val="left" w:pos="567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 года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>
        <w:rPr>
          <w:rFonts w:ascii="Times New Roman" w:hAnsi="Times New Roman"/>
          <w:sz w:val="28"/>
          <w:szCs w:val="28"/>
        </w:rPr>
        <w:t xml:space="preserve"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год.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 декабря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</w:t>
      </w:r>
      <w:r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годов».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поселения на 2023 год.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в показатели бюджета поселения на 2023 год приведены в таблице:</w:t>
      </w:r>
      <w:r/>
    </w:p>
    <w:tbl>
      <w:tblPr>
        <w:tblStyle w:val="641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>
        <w:trPr>
          <w:trHeight w:val="541"/>
        </w:trPr>
        <w:tc>
          <w:tcPr>
            <w:tcW w:w="3626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.12.22 №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 (с изменениями)</w:t>
            </w:r>
            <w:r/>
          </w:p>
        </w:tc>
        <w:tc>
          <w:tcPr>
            <w:tcW w:w="1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Предлагаемые проектом решения изменения</w:t>
            </w:r>
            <w:r/>
          </w:p>
        </w:tc>
        <w:tc>
          <w:tcPr>
            <w:tcW w:w="1259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Изменение</w:t>
            </w:r>
            <w:r/>
          </w:p>
        </w:tc>
        <w:tc>
          <w:tcPr>
            <w:tcW w:w="110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% изменения</w:t>
            </w:r>
            <w:r/>
          </w:p>
        </w:tc>
      </w:tr>
      <w:tr>
        <w:trPr>
          <w:trHeight w:val="300"/>
        </w:trPr>
        <w:tc>
          <w:tcPr>
            <w:tcW w:w="3626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Доходы, всего (тыс. рублей)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7376,5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7376,5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5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106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0,0%</w:t>
            </w:r>
            <w:r/>
            <w:r/>
          </w:p>
        </w:tc>
      </w:tr>
      <w:tr>
        <w:trPr>
          <w:trHeight w:val="300"/>
        </w:trPr>
        <w:tc>
          <w:tcPr>
            <w:tcW w:w="3626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Налоговые и неналоговые доходы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478,0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245,2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5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-232,8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106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-48,7%</w:t>
            </w:r>
            <w:r/>
            <w:r/>
          </w:p>
        </w:tc>
      </w:tr>
      <w:tr>
        <w:trPr>
          <w:trHeight w:val="300"/>
        </w:trPr>
        <w:tc>
          <w:tcPr>
            <w:tcW w:w="3626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6898,5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7131,3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5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232,8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106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3,4%</w:t>
            </w:r>
            <w:r/>
            <w:r/>
          </w:p>
        </w:tc>
      </w:tr>
      <w:tr>
        <w:trPr>
          <w:trHeight w:val="300"/>
        </w:trPr>
        <w:tc>
          <w:tcPr>
            <w:tcW w:w="3626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Расходы, всего (тыс. рублей)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7376,5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7376,5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1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300"/>
        </w:trPr>
        <w:tc>
          <w:tcPr>
            <w:tcW w:w="3626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Дефицит (-), профицит (+) бюджета</w:t>
            </w:r>
            <w:r/>
          </w:p>
        </w:tc>
        <w:tc>
          <w:tcPr>
            <w:tcW w:w="167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W w:w="167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W w:w="1259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W w:w="110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Доходная часть бюджета в целом не изменится и составит 7376,5 тыс. рублей. Проектом решения предлагается </w:t>
      </w:r>
      <w:r>
        <w:rPr>
          <w:rFonts w:ascii="Times New Roman" w:hAnsi="Times New Roman"/>
          <w:sz w:val="28"/>
          <w:szCs w:val="28"/>
        </w:rPr>
        <w:t xml:space="preserve">уменьшить объем поступлений налоговых и неналоговых доходов</w:t>
      </w:r>
      <w:r>
        <w:rPr>
          <w:rFonts w:ascii="Times New Roman" w:hAnsi="Times New Roman"/>
          <w:sz w:val="28"/>
          <w:szCs w:val="28"/>
        </w:rPr>
        <w:t xml:space="preserve"> на 232,8 тыс. рублей </w:t>
      </w:r>
      <w:r>
        <w:rPr>
          <w:rFonts w:ascii="Times New Roman" w:hAnsi="Times New Roman"/>
          <w:sz w:val="28"/>
          <w:szCs w:val="28"/>
        </w:rPr>
        <w:t xml:space="preserve">в связи с возвратом земельного налога с организаций (изменение кадастровой стоимости земельных участков), увеличить объем безвозмездных поступлений на 232,8 тыс. рублей за счет поступления дотаций на сбалансированность бюджетов.</w:t>
      </w:r>
      <w:r>
        <w:rPr>
          <w:rFonts w:ascii="Times New Roman" w:hAnsi="Times New Roman"/>
          <w:sz w:val="28"/>
          <w:szCs w:val="28"/>
        </w:rPr>
        <w:t xml:space="preserve"> Общий плановый объем налоговых и неналоговых доходов составит 245,2 тыс. рублей, </w:t>
      </w:r>
      <w:r>
        <w:rPr>
          <w:rFonts w:ascii="Times New Roman" w:hAnsi="Times New Roman"/>
          <w:sz w:val="28"/>
          <w:szCs w:val="28"/>
        </w:rPr>
        <w:t xml:space="preserve"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- 7131,3 тыс. рублей. </w:t>
      </w:r>
      <w:r>
        <w:rPr>
          <w:rFonts w:ascii="Times New Roman" w:hAnsi="Times New Roman"/>
          <w:sz w:val="28"/>
          <w:szCs w:val="28"/>
        </w:rPr>
        <w:t xml:space="preserve">Доля </w:t>
      </w:r>
      <w:r>
        <w:rPr>
          <w:rFonts w:ascii="Times New Roman" w:hAnsi="Times New Roman"/>
          <w:sz w:val="28"/>
          <w:szCs w:val="28"/>
        </w:rPr>
        <w:t xml:space="preserve">налоговых и неналоговых доходов в </w:t>
      </w:r>
      <w:r>
        <w:rPr>
          <w:rFonts w:ascii="Times New Roman" w:hAnsi="Times New Roman"/>
          <w:sz w:val="28"/>
          <w:szCs w:val="28"/>
        </w:rPr>
        <w:t xml:space="preserve">общем объеме доходов поселения</w:t>
      </w:r>
      <w:r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3,3</w:t>
      </w:r>
      <w:r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безвозмездных поступлений  –</w:t>
      </w:r>
      <w:r>
        <w:rPr>
          <w:rFonts w:ascii="Times New Roman" w:hAnsi="Times New Roman"/>
          <w:sz w:val="28"/>
          <w:szCs w:val="28"/>
        </w:rPr>
        <w:t xml:space="preserve"> 96,7</w:t>
      </w:r>
      <w:r>
        <w:rPr>
          <w:rFonts w:ascii="Times New Roman" w:hAnsi="Times New Roman"/>
          <w:sz w:val="28"/>
          <w:szCs w:val="28"/>
        </w:rPr>
        <w:t xml:space="preserve"> %.</w:t>
      </w:r>
      <w:r>
        <w:rPr>
          <w:rFonts w:ascii="Times New Roman" w:hAnsi="Times New Roman"/>
          <w:sz w:val="28"/>
          <w:szCs w:val="28"/>
        </w:rPr>
        <w:t xml:space="preserve"> 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</w:t>
      </w:r>
      <w:r/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Расходная часть бюджета в целом не изменится и составит 7376,5 </w:t>
      </w:r>
      <w:r>
        <w:rPr>
          <w:rFonts w:ascii="Times New Roman" w:hAnsi="Times New Roman"/>
          <w:sz w:val="28"/>
          <w:szCs w:val="28"/>
        </w:rPr>
        <w:t xml:space="preserve">тыс.рублей. Проектом решения предлагается произвести перераспределение бюджетных ассигнований между разделами и подразделами классификации расходов бюджета.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Бюджет поселения бездефицитный. </w:t>
      </w:r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Изменения, внесенные в расходную часть бюджета на 2023 год, в разрезе разделов, подразделов приведены в Приложении 1 к Заключению.</w:t>
      </w:r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Дополнительно поступившие дотации направлены на возмещение выпадающих налоговых доходов в связи </w:t>
      </w:r>
      <w:r>
        <w:rPr>
          <w:rFonts w:ascii="Times New Roman" w:hAnsi="Times New Roman"/>
          <w:sz w:val="28"/>
          <w:szCs w:val="28"/>
        </w:rPr>
        <w:t xml:space="preserve">с возвратом земельного налога с организаций. </w:t>
      </w:r>
      <w:r/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  <w:t xml:space="preserve">        </w:t>
      </w:r>
      <w:r/>
      <w:r>
        <w:rPr>
          <w:rFonts w:ascii="Times New Roman" w:hAnsi="Times New Roman"/>
          <w:i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С целью перераспределения бюджетных ассигнований на другие разделы, подразделы уменьшены расходы</w:t>
      </w:r>
      <w:r>
        <w:rPr>
          <w:rFonts w:ascii="Times New Roman" w:hAnsi="Times New Roman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-</w:t>
      </w:r>
      <w:r>
        <w:rPr>
          <w:rFonts w:ascii="Times New Roman" w:hAnsi="Times New Roman"/>
          <w:sz w:val="28"/>
          <w:szCs w:val="28"/>
        </w:rPr>
        <w:t xml:space="preserve"> на возмещение расходов на исполнение судебных актов и мировых соглашений на 14,0 тыс. рублей по подразделу 0113 </w:t>
      </w:r>
      <w:r>
        <w:rPr>
          <w:rFonts w:ascii="Times New Roman" w:hAnsi="Times New Roman"/>
          <w:i/>
          <w:sz w:val="28"/>
          <w:szCs w:val="28"/>
        </w:rPr>
        <w:t xml:space="preserve">«Другие общегосударственные вопросы»</w:t>
      </w:r>
      <w:r>
        <w:rPr>
          <w:rFonts w:ascii="Times New Roman" w:hAnsi="Times New Roman"/>
          <w:sz w:val="28"/>
          <w:szCs w:val="28"/>
          <w:lang w:val="en-US"/>
        </w:rPr>
        <w:t xml:space="preserve">;</w:t>
      </w:r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       – на проведение мероприятий для детей и молодежи на 5,0 тыс. рублей по подразделу 0707 «Молодежная политика».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/>
          <w:sz w:val="28"/>
          <w:szCs w:val="28"/>
        </w:rPr>
        <w:t xml:space="preserve">За счет перераспределенных бюджетных ассигнований у</w:t>
      </w:r>
      <w:r>
        <w:rPr>
          <w:rFonts w:ascii="Times New Roman" w:hAnsi="Times New Roman"/>
          <w:sz w:val="28"/>
          <w:szCs w:val="28"/>
        </w:rPr>
        <w:t xml:space="preserve">величены расходы:</w:t>
      </w:r>
      <w:r/>
      <w:r>
        <w:rPr>
          <w:rFonts w:ascii="Times New Roman" w:hAnsi="Times New Roman"/>
          <w:sz w:val="28"/>
          <w:szCs w:val="28"/>
          <w:highlight w:val="none"/>
          <w:lang w:val="en-US"/>
        </w:rPr>
      </w:r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        – на выполнение других обязательств государства на 12,5 тыс. рублей расходы на закупки)</w:t>
      </w:r>
      <w:r>
        <w:rPr>
          <w:rFonts w:ascii="Times New Roman" w:hAnsi="Times New Roman"/>
          <w:sz w:val="28"/>
          <w:szCs w:val="28"/>
          <w:highlight w:val="none"/>
          <w:lang w:val="en-US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val="en-US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        – на обеспечение функционирования органов местного самоуправления на 6,5 тыс. рублей (расходы на закупки). 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Изменения в финансирование муниципальной программы «Благоустройство территории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Алмозерское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2021-2025 годы» не вносились. </w:t>
      </w:r>
      <w:r/>
    </w:p>
    <w:p>
      <w:pPr>
        <w:jc w:val="both"/>
        <w:spacing w:after="0" w:line="240" w:lineRule="auto"/>
        <w:tabs>
          <w:tab w:val="left" w:pos="567" w:leader="none"/>
        </w:tabs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>
        <w:rPr>
          <w:rFonts w:ascii="Times New Roman" w:hAnsi="Times New Roman"/>
          <w:sz w:val="28"/>
          <w:szCs w:val="28"/>
        </w:rPr>
        <w:t xml:space="preserve">20 декабря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годов».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   </w:t>
      </w:r>
      <w:r>
        <w:t xml:space="preserve"> </w:t>
      </w:r>
      <w:r/>
    </w:p>
    <w:p>
      <w:pPr>
        <w:jc w:val="both"/>
        <w:spacing w:after="0" w:line="240" w:lineRule="auto"/>
        <w:tabs>
          <w:tab w:val="left" w:pos="567" w:leader="none"/>
        </w:tabs>
      </w:pPr>
      <w:r>
        <w:t xml:space="preserve">   </w:t>
      </w:r>
      <w:r/>
      <w:r/>
    </w:p>
    <w:p>
      <w:pPr>
        <w:jc w:val="both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b/>
          <w:sz w:val="28"/>
          <w:szCs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Представленный проект решения</w:t>
      </w:r>
      <w:r>
        <w:rPr>
          <w:rFonts w:ascii="Times New Roman" w:hAnsi="Times New Roman"/>
          <w:sz w:val="28"/>
          <w:szCs w:val="28"/>
        </w:rPr>
        <w:t xml:space="preserve"> Совета сельского поселения Алмозерское 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 года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требован</w:t>
      </w:r>
      <w:r>
        <w:rPr>
          <w:rFonts w:ascii="Times New Roman" w:hAnsi="Times New Roman"/>
          <w:sz w:val="28"/>
          <w:szCs w:val="28"/>
        </w:rPr>
        <w:t xml:space="preserve">иям бюджетного законодательства. </w:t>
      </w:r>
      <w:r/>
    </w:p>
    <w:p>
      <w:pPr>
        <w:jc w:val="both"/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удитор 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О.Е. Нестерова </w:t>
      </w:r>
      <w:r/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0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8"/>
    <w:link w:val="657"/>
    <w:uiPriority w:val="99"/>
  </w:style>
  <w:style w:type="character" w:styleId="45">
    <w:name w:val="Footer Char"/>
    <w:basedOn w:val="638"/>
    <w:link w:val="659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  <w:rPr>
      <w:rFonts w:ascii="Calibri" w:hAnsi="Calibri" w:eastAsia="Times New Roman" w:cs="Times New Roman"/>
    </w:rPr>
  </w:style>
  <w:style w:type="character" w:styleId="638" w:default="1">
    <w:name w:val="Default Paragraph Font"/>
    <w:uiPriority w:val="1"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table" w:styleId="641">
    <w:name w:val="Table Grid"/>
    <w:basedOn w:val="63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4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3" w:customStyle="1">
    <w:name w:val="Знак"/>
    <w:basedOn w:val="63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644">
    <w:name w:val="Normal (Web)"/>
    <w:basedOn w:val="637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45">
    <w:name w:val="Balloon Text"/>
    <w:basedOn w:val="637"/>
    <w:link w:val="6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6" w:customStyle="1">
    <w:name w:val="Текст выноски Знак"/>
    <w:basedOn w:val="638"/>
    <w:link w:val="645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47">
    <w:name w:val="List Paragraph"/>
    <w:basedOn w:val="637"/>
    <w:uiPriority w:val="34"/>
    <w:qFormat/>
    <w:pPr>
      <w:contextualSpacing/>
      <w:ind w:left="720"/>
    </w:pPr>
  </w:style>
  <w:style w:type="paragraph" w:styleId="648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649" w:customStyle="1">
    <w:name w:val="Сетка таблицы1"/>
    <w:basedOn w:val="639"/>
    <w:next w:val="64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0">
    <w:name w:val="Hyperlink"/>
    <w:basedOn w:val="638"/>
    <w:uiPriority w:val="99"/>
    <w:unhideWhenUsed/>
    <w:rPr>
      <w:color w:val="0000ff" w:themeColor="hyperlink"/>
      <w:u w:val="single"/>
    </w:rPr>
  </w:style>
  <w:style w:type="character" w:styleId="651" w:customStyle="1">
    <w:name w:val="blk1"/>
    <w:basedOn w:val="638"/>
    <w:rPr>
      <w:vanish w:val="0"/>
    </w:rPr>
  </w:style>
  <w:style w:type="character" w:styleId="652">
    <w:name w:val="annotation reference"/>
    <w:basedOn w:val="638"/>
    <w:uiPriority w:val="99"/>
    <w:semiHidden/>
    <w:unhideWhenUsed/>
    <w:rPr>
      <w:sz w:val="16"/>
      <w:szCs w:val="16"/>
    </w:rPr>
  </w:style>
  <w:style w:type="paragraph" w:styleId="653">
    <w:name w:val="annotation text"/>
    <w:basedOn w:val="637"/>
    <w:link w:val="65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4" w:customStyle="1">
    <w:name w:val="Текст примечания Знак"/>
    <w:basedOn w:val="638"/>
    <w:link w:val="653"/>
    <w:uiPriority w:val="99"/>
    <w:semiHidden/>
    <w:rPr>
      <w:rFonts w:ascii="Calibri" w:hAnsi="Calibri" w:eastAsia="Times New Roman" w:cs="Times New Roman"/>
      <w:sz w:val="20"/>
      <w:szCs w:val="20"/>
    </w:rPr>
  </w:style>
  <w:style w:type="paragraph" w:styleId="655">
    <w:name w:val="annotation subject"/>
    <w:basedOn w:val="653"/>
    <w:next w:val="653"/>
    <w:link w:val="656"/>
    <w:uiPriority w:val="99"/>
    <w:semiHidden/>
    <w:unhideWhenUsed/>
    <w:rPr>
      <w:b/>
      <w:bCs/>
    </w:rPr>
  </w:style>
  <w:style w:type="character" w:styleId="656" w:customStyle="1">
    <w:name w:val="Тема примечания Знак"/>
    <w:basedOn w:val="654"/>
    <w:link w:val="655"/>
    <w:uiPriority w:val="99"/>
    <w:semiHidden/>
    <w:rPr>
      <w:rFonts w:ascii="Calibri" w:hAnsi="Calibri" w:eastAsia="Times New Roman" w:cs="Times New Roman"/>
      <w:b/>
      <w:bCs/>
      <w:sz w:val="20"/>
      <w:szCs w:val="20"/>
    </w:rPr>
  </w:style>
  <w:style w:type="paragraph" w:styleId="657">
    <w:name w:val="Header"/>
    <w:basedOn w:val="637"/>
    <w:link w:val="6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8" w:customStyle="1">
    <w:name w:val="Верхний колонтитул Знак"/>
    <w:basedOn w:val="638"/>
    <w:link w:val="657"/>
    <w:uiPriority w:val="99"/>
    <w:rPr>
      <w:rFonts w:ascii="Calibri" w:hAnsi="Calibri" w:eastAsia="Times New Roman" w:cs="Times New Roman"/>
    </w:rPr>
  </w:style>
  <w:style w:type="paragraph" w:styleId="659">
    <w:name w:val="Footer"/>
    <w:basedOn w:val="637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Нижний колонтитул Знак"/>
    <w:basedOn w:val="638"/>
    <w:link w:val="659"/>
    <w:uiPriority w:val="99"/>
    <w:rPr>
      <w:rFonts w:ascii="Calibri" w:hAnsi="Calibri" w:eastAsia="Times New Roman" w:cs="Times New Roman"/>
    </w:rPr>
  </w:style>
  <w:style w:type="table" w:styleId="661" w:customStyle="1">
    <w:name w:val="Сетка таблицы2"/>
    <w:basedOn w:val="639"/>
    <w:next w:val="64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662" w:customStyle="1">
    <w:name w:val="Сетка таблицы11"/>
    <w:basedOn w:val="639"/>
    <w:next w:val="64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161B-5512-4BD8-97F3-4EA0C5AE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92</cp:revision>
  <dcterms:created xsi:type="dcterms:W3CDTF">2018-05-17T09:59:00Z</dcterms:created>
  <dcterms:modified xsi:type="dcterms:W3CDTF">2023-09-21T07:35:59Z</dcterms:modified>
</cp:coreProperties>
</file>