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715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/>
      <w:bookmarkStart w:id="0" w:name="_GoBack"/>
      <w:r/>
      <w:bookmarkEnd w:id="0"/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</w:p>
    <w:p>
      <w:pPr>
        <w:pStyle w:val="878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09" r="35560" b="3746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Вытегра»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28.</w:t>
      </w:r>
      <w:r>
        <w:rPr>
          <w:rFonts w:ascii="Times New Roman" w:hAnsi="Times New Roman"/>
          <w:sz w:val="28"/>
          <w:szCs w:val="28"/>
        </w:rPr>
        <w:t xml:space="preserve">11.2023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</w:t>
      </w:r>
      <w:r/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19.12.2022 № 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заключенного </w:t>
      </w:r>
      <w:r>
        <w:rPr>
          <w:rFonts w:ascii="Times New Roman" w:hAnsi="Times New Roman"/>
          <w:sz w:val="28"/>
          <w:szCs w:val="28"/>
        </w:rPr>
        <w:t xml:space="preserve">на 2023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оглашения между </w:t>
      </w:r>
      <w:r>
        <w:rPr>
          <w:rFonts w:ascii="Times New Roman" w:hAnsi="Times New Roman"/>
          <w:sz w:val="28"/>
          <w:szCs w:val="28"/>
        </w:rPr>
        <w:t xml:space="preserve">Городским Советом МО «Город Вытегра»</w:t>
      </w:r>
      <w:r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</w:t>
      </w:r>
      <w:r>
        <w:rPr>
          <w:rFonts w:ascii="Times New Roman" w:hAnsi="Times New Roman"/>
          <w:sz w:val="28"/>
          <w:szCs w:val="28"/>
        </w:rPr>
        <w:t xml:space="preserve">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от 19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2.2022 № 25 «О</w:t>
      </w:r>
      <w:r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на 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юджета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Изменения в показатели бюджета на 2023 год приведены в таблице:</w:t>
      </w:r>
      <w:r>
        <w:rPr>
          <w:rFonts w:ascii="Times New Roman" w:hAnsi="Times New Roman"/>
          <w:sz w:val="24"/>
          <w:szCs w:val="24"/>
        </w:rPr>
      </w:r>
    </w:p>
    <w:tbl>
      <w:tblPr>
        <w:tblStyle w:val="877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>
        <w:tblPrEx/>
        <w:trPr>
          <w:trHeight w:val="722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19.12.2022 г. № 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изменения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54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Доходы всего (тыс.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306111,6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306311,6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200,0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0,1%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43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Налоговые и неналоговые доходы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75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260432,6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260632,6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Расходы всего (тыс. 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311703,4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311903,4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200,0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0,1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39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Дефицит (-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профицит (+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бюджета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-5591,8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-5591,8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200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en-US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</w:rPr>
        <w:t xml:space="preserve">306311,6</w:t>
      </w:r>
      <w:r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45679,0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 xml:space="preserve">200,0 тыс. рублей и составит </w:t>
      </w:r>
      <w:r>
        <w:rPr>
          <w:rFonts w:ascii="Times New Roman" w:hAnsi="Times New Roman"/>
          <w:sz w:val="28"/>
          <w:szCs w:val="28"/>
        </w:rPr>
        <w:t xml:space="preserve">260632,6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Размеры уточнений по каждому виду доходов на 2023 год представлены в таблице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877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>
        <w:tblPrEx/>
        <w:trPr>
          <w:trHeight w:val="488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доходных источников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19.12.2022 № 25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(с изменениями)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313"/>
        </w:trPr>
        <w:tc>
          <w:tcPr>
            <w:tcW w:w="311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и неналоговые доходы 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260432,6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260632,6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200,0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45687,7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45887,7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+200,0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Субсидии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134495,6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134495,6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80000,0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80000,0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247,3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247,3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дотаций увеличен на </w:t>
      </w:r>
      <w:r>
        <w:rPr>
          <w:rFonts w:ascii="Times New Roman" w:hAnsi="Times New Roman"/>
          <w:sz w:val="28"/>
          <w:szCs w:val="28"/>
        </w:rPr>
        <w:t xml:space="preserve">200,0</w:t>
      </w:r>
      <w:r>
        <w:rPr>
          <w:rFonts w:ascii="Times New Roman" w:hAnsi="Times New Roman"/>
          <w:sz w:val="28"/>
          <w:szCs w:val="28"/>
        </w:rPr>
        <w:t xml:space="preserve"> тыс. рублей за счет поступающих из районного бюджета дотаций на поддержку мер по обеспечению сбалансированности бюджетов.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4,9 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увеличится на </w:t>
      </w:r>
      <w:r>
        <w:rPr>
          <w:rFonts w:ascii="Times New Roman" w:hAnsi="Times New Roman"/>
          <w:sz w:val="28"/>
          <w:szCs w:val="28"/>
          <w:lang w:val="en-US"/>
        </w:rPr>
        <w:t xml:space="preserve">200,0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 xml:space="preserve">0,</w:t>
      </w:r>
      <w:r>
        <w:rPr>
          <w:rFonts w:ascii="Times New Roman" w:hAnsi="Times New Roman"/>
          <w:sz w:val="28"/>
          <w:szCs w:val="28"/>
        </w:rPr>
        <w:t xml:space="preserve">1% и составит </w:t>
      </w:r>
      <w:r>
        <w:rPr>
          <w:rFonts w:ascii="Times New Roman" w:hAnsi="Times New Roman"/>
          <w:sz w:val="28"/>
          <w:szCs w:val="28"/>
        </w:rPr>
        <w:t xml:space="preserve">311903,4</w:t>
      </w:r>
      <w:r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поступающих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результате произведенных изменений дефицит бюджета не изменится  и составит </w:t>
      </w:r>
      <w:r>
        <w:rPr>
          <w:rFonts w:ascii="Times New Roman" w:hAnsi="Times New Roman"/>
          <w:sz w:val="28"/>
          <w:szCs w:val="28"/>
        </w:rPr>
        <w:t xml:space="preserve">5591,8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Объем дефицита соответствует нормам 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highlight w:val="none"/>
        </w:rPr>
        <w:t xml:space="preserve">Проектом решения предлагается перераспределение бюджетных ассигнований между разделами, подразделами</w:t>
      </w:r>
      <w:r>
        <w:rPr>
          <w:rFonts w:ascii="Times New Roman" w:hAnsi="Times New Roman"/>
          <w:sz w:val="28"/>
          <w:szCs w:val="28"/>
        </w:rPr>
        <w:t xml:space="preserve"> классификации расходов бюджетов на 2023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Изменения, внесенные в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Заключению.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ополнительно поступившей дотации на сбалансированность в сумме </w:t>
      </w:r>
      <w:r>
        <w:rPr>
          <w:rFonts w:ascii="Times New Roman" w:hAnsi="Times New Roman"/>
          <w:sz w:val="28"/>
          <w:szCs w:val="28"/>
        </w:rPr>
        <w:t xml:space="preserve">200,0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будут направлены на</w:t>
      </w:r>
      <w:r>
        <w:rPr>
          <w:rFonts w:ascii="Times New Roman" w:hAnsi="Times New Roman"/>
          <w:sz w:val="28"/>
          <w:szCs w:val="28"/>
        </w:rPr>
        <w:t xml:space="preserve"> прочие работы по благоустройству.</w:t>
      </w:r>
      <w:r>
        <w:rPr>
          <w:sz w:val="27"/>
          <w:szCs w:val="27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сокращение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ассигнований </w:t>
      </w:r>
      <w:r>
        <w:rPr>
          <w:rFonts w:ascii="Times New Roman" w:hAnsi="Times New Roman"/>
          <w:b/>
          <w:sz w:val="28"/>
          <w:szCs w:val="28"/>
        </w:rPr>
        <w:t xml:space="preserve">в разделе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в сумме 247,5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-1,9 %).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13015,9 тыс.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раздела в общих расходах бюджета после изменения составит 4,</w:t>
      </w:r>
      <w:r>
        <w:rPr>
          <w:rFonts w:ascii="Times New Roman" w:hAnsi="Times New Roman"/>
          <w:sz w:val="28"/>
          <w:szCs w:val="28"/>
        </w:rPr>
        <w:t xml:space="preserve">2 %.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iCs/>
          <w:sz w:val="28"/>
          <w:szCs w:val="28"/>
        </w:rPr>
        <w:t xml:space="preserve">подразделу 0103 «Функционирование 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 уменьшены </w:t>
      </w:r>
      <w:r>
        <w:rPr>
          <w:rFonts w:ascii="Times New Roman" w:hAnsi="Times New Roman"/>
          <w:sz w:val="28"/>
          <w:szCs w:val="28"/>
        </w:rPr>
        <w:t xml:space="preserve">расходы</w:t>
      </w:r>
      <w:r/>
      <w:r>
        <w:rPr>
          <w:rFonts w:ascii="Times New Roman" w:hAnsi="Times New Roman"/>
          <w:sz w:val="28"/>
          <w:szCs w:val="28"/>
        </w:rPr>
        <w:t xml:space="preserve"> на иные закупки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 в сумме 15,5 тыс. рублей (-1,7%) 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i/>
          <w:sz w:val="28"/>
          <w:szCs w:val="28"/>
        </w:rPr>
        <w:t xml:space="preserve"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увеличиваются</w:t>
      </w:r>
      <w:r>
        <w:rPr>
          <w:rFonts w:ascii="Times New Roman" w:hAnsi="Times New Roman"/>
          <w:sz w:val="28"/>
          <w:szCs w:val="28"/>
        </w:rPr>
        <w:t xml:space="preserve"> на 185,7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+1,8%) </w:t>
      </w:r>
      <w:r>
        <w:rPr>
          <w:rFonts w:ascii="Times New Roman" w:hAnsi="Times New Roman"/>
          <w:sz w:val="28"/>
          <w:szCs w:val="28"/>
        </w:rPr>
        <w:t xml:space="preserve">ассигнования 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 текущее содержание администрации Муниципального образования «Город Вытегра».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0113 «Другие общегосударственные вопросы»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ассигнования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сокращаются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на 417,7 тыс.рублей (-31,4%)</w:t>
      </w:r>
      <w:r>
        <w:rPr>
          <w:rFonts w:ascii="Times New Roman" w:hAnsi="Times New Roman"/>
          <w:sz w:val="28"/>
          <w:szCs w:val="28"/>
        </w:rPr>
        <w:t xml:space="preserve">  за счет сокращения расходов на текущий ремонт помещений, находящихся в муниципальной казне, и  уменьшения расходов на уплату административных штрафов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сократить плановые ассигнования раздела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Национальная безопасность и правоохранительная деятельность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на 645,5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-51,6 %)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в том числе по подразделу 0310 «Защита населения и территории от чрезвычайных ситуаций природного и техногенного характера, пожарная безопасность» </w:t>
      </w:r>
      <w:r>
        <w:rPr>
          <w:rFonts w:ascii="Times New Roman" w:hAnsi="Times New Roman"/>
          <w:bCs/>
          <w:i w:val="0"/>
          <w:iCs w:val="0"/>
          <w:sz w:val="28"/>
          <w:szCs w:val="28"/>
          <w:lang w:eastAsia="ru-RU"/>
        </w:rPr>
        <w:t xml:space="preserve">на 645,5 тыс. рублей за счет сложившейся экономии по содержанию и текущему ремонту пожарных водоемов.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604,5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0,2 % </w:t>
      </w:r>
      <w:r>
        <w:rPr>
          <w:rFonts w:ascii="Times New Roman" w:hAnsi="Times New Roman"/>
          <w:sz w:val="28"/>
          <w:szCs w:val="28"/>
        </w:rPr>
        <w:t xml:space="preserve">в общих расходах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  <w:r>
        <w:rPr>
          <w:rFonts w:ascii="Times New Roman" w:hAnsi="Times New Roman"/>
          <w:b w:val="0"/>
          <w:bCs w:val="0"/>
          <w:i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Национальная экономика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в целом предлагается сокращение расходов на 149,5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-1,9%),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7823,6 тыс. рублей</w:t>
      </w:r>
      <w:r>
        <w:rPr>
          <w:rFonts w:ascii="Times New Roman" w:hAnsi="Times New Roman"/>
          <w:sz w:val="28"/>
          <w:szCs w:val="28"/>
        </w:rPr>
        <w:t xml:space="preserve">. Доля раздела в общих расходах бюджета после изменения составит 2,5</w:t>
      </w:r>
      <w:r>
        <w:rPr>
          <w:rFonts w:ascii="Times New Roman" w:hAnsi="Times New Roman"/>
          <w:sz w:val="28"/>
          <w:szCs w:val="28"/>
        </w:rPr>
        <w:t xml:space="preserve"> %.</w:t>
      </w:r>
      <w:r/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0408 «Транспорт»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 ассигнования уменьшатся на  109,5 тыс. рублей (-8,2%) и составят 1230,1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уменьшены на компенсацию недополученных доходов транспортными организациями социально-значимого городского маршрута. 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в рамках Муниципальной программы «Развитие транспортной системы на территории муниципального образования «Город Вытегра»</w:t>
      </w:r>
      <w:r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2022-2026 гг.»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Основное мероприятие 3 "Создание условий для содержания автобусного маршрута"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highlight w:val="none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0412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ассигнования уменьшатся на 40,0 тыс. рублей (-40,0%) на организацию работ по оценке земельных участков и объектов недвижимого имущества и составят 60,0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увеличить плановые ассигнования раздела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05 «Жилищно-коммунальное хозяйство» в целом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на 1242,5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0,4</w:t>
      </w:r>
      <w:r>
        <w:rPr>
          <w:rFonts w:ascii="Times New Roman" w:hAnsi="Times New Roman"/>
          <w:sz w:val="28"/>
          <w:szCs w:val="28"/>
          <w:lang w:eastAsia="ru-RU"/>
        </w:rPr>
        <w:t xml:space="preserve">%),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–278932,1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89,4%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общих расходах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0501 «Жилищное хозяйство</w:t>
      </w:r>
      <w:r>
        <w:rPr>
          <w:rFonts w:ascii="Times New Roman" w:hAnsi="Times New Roman"/>
          <w:sz w:val="28"/>
          <w:szCs w:val="28"/>
        </w:rPr>
        <w:t xml:space="preserve">» расходы увеличены на 75,0 тыс. рублей (+2,3%).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Средства предполагается направить на оплату услуг по подготовке документов по регистрации и снятию с учета граждан, проживающих в муниципальном жилом фонде.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0502 «Коммунальное хозяйство</w:t>
      </w:r>
      <w:r>
        <w:rPr>
          <w:rFonts w:ascii="Times New Roman" w:hAnsi="Times New Roman"/>
          <w:sz w:val="28"/>
          <w:szCs w:val="28"/>
        </w:rPr>
        <w:t xml:space="preserve">» в рамках муниципальной программы «Комплексное развитие коммунальной инфраструктуры в сфере водоснабжения и водоотведения муниципального образования «Город Вытегра» Вытегорского района Вологодской области» на 2021-2023 годы»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сократить </w:t>
      </w:r>
      <w:r>
        <w:rPr>
          <w:rFonts w:ascii="Times New Roman" w:hAnsi="Times New Roman"/>
          <w:sz w:val="28"/>
          <w:szCs w:val="28"/>
        </w:rPr>
        <w:t xml:space="preserve">расходы</w:t>
      </w:r>
      <w:r>
        <w:rPr>
          <w:rFonts w:ascii="Times New Roman" w:hAnsi="Times New Roman"/>
          <w:sz w:val="28"/>
          <w:szCs w:val="28"/>
        </w:rPr>
        <w:t xml:space="preserve"> на 36,0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       -Подпрограмма 1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«Комплексное развитие систем коммунальной инфраструктуры в сфере водоснабжения муниципального образования "Город Вытегра"»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1 "Строительство и реконструкция (модернизация) объектов питьевого водоснабжения"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расходы уменьшаются на 36,0 тыс. рублей за счет уменьшения расходов на рабочую документацию по проекту «Чистая вода»;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Основное мероприятие 3 "Текущий и капитальный ремонт водопроводных сетей"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расходы увеличены на 102,5 тыс. рублей на мероприятия по текущему и капитальному ремонту водопроводных сетей.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  -Подпрограмма 1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Комплексное развитие систем коммунальной инфраструктуры в сфере водоотведения муниципального образования "Город Вытегра"»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Основное мероприятие 2 "Текущий и капитальный ремонт канализационных сетей"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- расходы уменьшаются на 102,5 тыс. рублей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за счет мероприятий по текущему и капитальному ремонту канализационных сетей.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</w:t>
      </w:r>
      <w:r>
        <w:rPr>
          <w:rFonts w:ascii="Times New Roman" w:hAnsi="Times New Roman"/>
          <w:sz w:val="28"/>
          <w:szCs w:val="28"/>
        </w:rPr>
        <w:t xml:space="preserve">» ассигнования увеличиваются на 1203,5 тыс. рублей (+0,9%).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предлагается увеличить </w:t>
      </w:r>
      <w:r>
        <w:rPr>
          <w:rFonts w:ascii="Times New Roman" w:hAnsi="Times New Roman"/>
          <w:sz w:val="28"/>
          <w:szCs w:val="28"/>
        </w:rPr>
        <w:t xml:space="preserve">расходы на прочие мероприятия по благоустройству - на 1333,0 тыс. рублей</w:t>
      </w:r>
      <w:r>
        <w:rPr>
          <w:rFonts w:ascii="Times New Roman" w:hAnsi="Times New Roman"/>
          <w:sz w:val="28"/>
          <w:szCs w:val="28"/>
        </w:rPr>
        <w:t xml:space="preserve"> (средства предназначены для содержания набережной, тротуаров, работы по расчистке от спиленных деревьев).</w:t>
      </w:r>
      <w:r/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Иные межбюджетные трансферты на осуществление части полномочий на реализацию мероприятий по благоустройству территорий уменьшены на 29,5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Проектом решения вносятся и</w:t>
      </w:r>
      <w:r>
        <w:rPr>
          <w:rFonts w:ascii="Times New Roman" w:hAnsi="Times New Roman"/>
          <w:sz w:val="28"/>
          <w:szCs w:val="28"/>
          <w:lang w:eastAsia="ru-RU"/>
        </w:rPr>
        <w:t xml:space="preserve">зменения в объемы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униципальных  программ.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 сокращ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ается на 145,5 тыс. рублей (-0,1%)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составит 141063,7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45,2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Снижение доли программного финансирования составит 0,1%.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 Изменения, внесенные в финансирование муниципальных программ </w:t>
      </w:r>
      <w:r>
        <w:rPr>
          <w:rFonts w:ascii="Times New Roman" w:hAnsi="Times New Roman"/>
          <w:sz w:val="28"/>
          <w:szCs w:val="28"/>
        </w:rPr>
        <w:t xml:space="preserve">на 2023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к Заключению.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Проектом решения вносятся соответствующие изменения в приложения к решению Городского Совета МО «Город</w:t>
      </w:r>
      <w:r>
        <w:rPr>
          <w:rFonts w:ascii="Times New Roman" w:hAnsi="Times New Roman"/>
          <w:sz w:val="28"/>
          <w:szCs w:val="28"/>
          <w:lang w:eastAsia="ru-RU"/>
        </w:rPr>
        <w:t xml:space="preserve"> Вытегра» от 19.12.2022 г. № 25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азования «Город Вытегра» на 2023 год и плановый период 2024 и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24.05.2022 № 82н «О Порядке формирования и применения ко</w:t>
      </w:r>
      <w:r>
        <w:rPr>
          <w:rFonts w:ascii="Times New Roman" w:hAnsi="Times New Roman"/>
          <w:sz w:val="28"/>
          <w:szCs w:val="28"/>
          <w:lang w:eastAsia="ru-RU"/>
        </w:rPr>
        <w:t xml:space="preserve">дов бюджетной классификации Российской Федерации, их структуре и принципах назначения» ( ред. 01.06.2023),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новый период 2024 и 2025 годов).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 Выводы и предложения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роект ре</w:t>
      </w:r>
      <w:r>
        <w:rPr>
          <w:rFonts w:ascii="Times New Roman" w:hAnsi="Times New Roman"/>
          <w:sz w:val="28"/>
          <w:szCs w:val="28"/>
        </w:rPr>
        <w:t xml:space="preserve">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Гор</w:t>
      </w:r>
      <w:r>
        <w:rPr>
          <w:rFonts w:ascii="Times New Roman" w:hAnsi="Times New Roman"/>
          <w:sz w:val="28"/>
          <w:szCs w:val="28"/>
        </w:rPr>
        <w:t xml:space="preserve">од Вытегра».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19</w:t>
      </w:r>
      <w:r>
        <w:rPr>
          <w:rFonts w:ascii="Times New Roman" w:hAnsi="Times New Roman"/>
          <w:sz w:val="28"/>
          <w:szCs w:val="28"/>
        </w:rPr>
        <w:t xml:space="preserve">.12.2</w:t>
      </w:r>
      <w:r>
        <w:rPr>
          <w:rFonts w:ascii="Times New Roman" w:hAnsi="Times New Roman"/>
          <w:sz w:val="28"/>
          <w:szCs w:val="28"/>
        </w:rPr>
        <w:t xml:space="preserve">022 № 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рассмотрению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4"/>
    <w:link w:val="698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4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4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4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4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4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4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872"/>
    <w:next w:val="87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4"/>
    <w:link w:val="715"/>
    <w:uiPriority w:val="10"/>
    <w:rPr>
      <w:sz w:val="48"/>
      <w:szCs w:val="48"/>
    </w:rPr>
  </w:style>
  <w:style w:type="paragraph" w:styleId="717">
    <w:name w:val="Subtitle"/>
    <w:basedOn w:val="872"/>
    <w:next w:val="87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4"/>
    <w:link w:val="717"/>
    <w:uiPriority w:val="11"/>
    <w:rPr>
      <w:sz w:val="24"/>
      <w:szCs w:val="24"/>
    </w:rPr>
  </w:style>
  <w:style w:type="paragraph" w:styleId="719">
    <w:name w:val="Quote"/>
    <w:basedOn w:val="872"/>
    <w:next w:val="872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2"/>
    <w:next w:val="872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4"/>
    <w:link w:val="723"/>
    <w:uiPriority w:val="99"/>
  </w:style>
  <w:style w:type="paragraph" w:styleId="725">
    <w:name w:val="Footer"/>
    <w:basedOn w:val="87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4"/>
    <w:link w:val="72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4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4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rPr>
      <w:rFonts w:ascii="Calibri" w:hAnsi="Calibri" w:eastAsia="Times New Roman" w:cs="Times New Roman"/>
    </w:rPr>
  </w:style>
  <w:style w:type="paragraph" w:styleId="873">
    <w:name w:val="Heading 2"/>
    <w:basedOn w:val="872"/>
    <w:next w:val="872"/>
    <w:link w:val="887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table" w:styleId="877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 w:customStyle="1">
    <w:name w:val="Знак"/>
    <w:basedOn w:val="87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80">
    <w:name w:val="Normal (Web)"/>
    <w:basedOn w:val="872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81">
    <w:name w:val="Balloon Text"/>
    <w:basedOn w:val="872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874"/>
    <w:link w:val="881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3">
    <w:name w:val="List Paragraph"/>
    <w:basedOn w:val="872"/>
    <w:uiPriority w:val="34"/>
    <w:qFormat/>
    <w:pPr>
      <w:contextualSpacing/>
      <w:ind w:left="720"/>
    </w:pPr>
  </w:style>
  <w:style w:type="paragraph" w:styleId="884">
    <w:name w:val="Body Text"/>
    <w:basedOn w:val="872"/>
    <w:link w:val="885"/>
    <w:pPr>
      <w:jc w:val="both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885" w:customStyle="1">
    <w:name w:val="Основной текст Знак"/>
    <w:basedOn w:val="874"/>
    <w:link w:val="88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7" w:customStyle="1">
    <w:name w:val="Заголовок 2 Знак"/>
    <w:basedOn w:val="874"/>
    <w:link w:val="873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B745-6E52-4E78-B34C-821ED1DB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28</cp:revision>
  <dcterms:created xsi:type="dcterms:W3CDTF">2023-05-30T10:20:00Z</dcterms:created>
  <dcterms:modified xsi:type="dcterms:W3CDTF">2023-11-28T09:28:17Z</dcterms:modified>
</cp:coreProperties>
</file>