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37115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/>
      <w:bookmarkStart w:id="0" w:name="_GoBack"/>
      <w:r/>
      <w:bookmarkEnd w:id="0"/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8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09" r="35560" b="3746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Вытегра»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27.</w:t>
      </w:r>
      <w:r>
        <w:rPr>
          <w:rFonts w:ascii="Times New Roman" w:hAnsi="Times New Roman"/>
          <w:sz w:val="28"/>
          <w:szCs w:val="28"/>
        </w:rPr>
        <w:t xml:space="preserve">12.2023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19.12.2022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заключенного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между </w:t>
      </w:r>
      <w:r>
        <w:rPr>
          <w:rFonts w:ascii="Times New Roman" w:hAnsi="Times New Roman"/>
          <w:sz w:val="28"/>
          <w:szCs w:val="28"/>
        </w:rPr>
        <w:t xml:space="preserve">Городским Советом МО «Город Вытегра»</w:t>
      </w:r>
      <w:r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от 19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2.2022 № 25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юджета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Изменения в показатели бюджета на 2023 год приведены в таблице: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79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>
        <w:tblPrEx/>
        <w:trPr>
          <w:trHeight w:val="722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19.12.2022 г. № 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54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Доходы всего (тыс.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257266,5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258266,5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+1000,0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+0,4%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3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75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211587,5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212587,5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+1000,0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+0,5%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Расходы всего (тыс. 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262858,3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261689,9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-1168,4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-0,4%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39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Дефицит (-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профицит (+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бюджета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-5591,8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-3423,4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2168,4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>
        <w:rPr>
          <w:rFonts w:ascii="Times New Roman" w:hAnsi="Times New Roman"/>
          <w:sz w:val="28"/>
          <w:szCs w:val="28"/>
        </w:rPr>
        <w:t xml:space="preserve">1000,0 тыс. рублей и составит 258266,5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45679,0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 xml:space="preserve">1000,0 тыс. рублей и составит </w:t>
      </w:r>
      <w:r>
        <w:rPr>
          <w:rFonts w:ascii="Times New Roman" w:hAnsi="Times New Roman"/>
          <w:sz w:val="28"/>
          <w:szCs w:val="28"/>
        </w:rPr>
        <w:t xml:space="preserve">212587,5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Размеры уточнений по каждому виду доходов на 2023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79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>
        <w:tblPrEx/>
        <w:trPr>
          <w:trHeight w:val="488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доходных источников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19.12.2022 № 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(с изменениями)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211587,5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212587,5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+1000,0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45887,7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46887,7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85450,5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85450,5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увеличится на 1000,0 тыс. рублей за счет увеличения дотации бюджетам городских поселений поселений на поддержку мер по обеспечению сбалансированности бюджетов и составит 46887,7 тыс. 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Общий объем субсидий, субвенций </w:t>
      </w:r>
      <w:r>
        <w:rPr>
          <w:rFonts w:ascii="Times New Roman" w:hAnsi="Times New Roman"/>
          <w:sz w:val="28"/>
          <w:szCs w:val="28"/>
        </w:rPr>
        <w:t xml:space="preserve">и иных межбюджетных трансфертов не изменится и составит 85450,5 тыс. рублей, 2,0 тыс. рублей и 80000,0 тыс. рублей соответственно.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 xml:space="preserve">82,3</w:t>
      </w:r>
      <w:r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7,7 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сократится на </w:t>
      </w:r>
      <w:r>
        <w:rPr>
          <w:rFonts w:ascii="Times New Roman" w:hAnsi="Times New Roman"/>
          <w:sz w:val="28"/>
          <w:szCs w:val="28"/>
        </w:rPr>
        <w:t xml:space="preserve">1168,4 </w:t>
      </w:r>
      <w:r>
        <w:rPr>
          <w:rFonts w:ascii="Times New Roman" w:hAnsi="Times New Roman"/>
          <w:sz w:val="28"/>
          <w:szCs w:val="28"/>
        </w:rPr>
        <w:t xml:space="preserve">тыс. рублей, или на 0,4</w:t>
      </w:r>
      <w:r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 xml:space="preserve">261689,9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результате произведенных изменений дефицит бюджета сократится на 2168,4 тыс. рублей  и составит </w:t>
      </w:r>
      <w:r>
        <w:rPr>
          <w:rFonts w:ascii="Times New Roman" w:hAnsi="Times New Roman"/>
          <w:sz w:val="28"/>
          <w:szCs w:val="28"/>
        </w:rPr>
        <w:t xml:space="preserve">3423,4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Проектом решения предлагается перераспределение бюджетных ассигнований между разделами, подразделами</w:t>
      </w:r>
      <w:r>
        <w:rPr>
          <w:rFonts w:ascii="Times New Roman" w:hAnsi="Times New Roman"/>
          <w:sz w:val="28"/>
          <w:szCs w:val="28"/>
        </w:rPr>
        <w:t xml:space="preserve"> классификации расходов бюджетов на 2023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уменьшение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в 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303,5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-2,3 %).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12832,2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</w:t>
      </w:r>
      <w:r>
        <w:rPr>
          <w:rFonts w:ascii="Times New Roman" w:hAnsi="Times New Roman"/>
          <w:sz w:val="28"/>
          <w:szCs w:val="28"/>
        </w:rPr>
        <w:t xml:space="preserve">4,9 %.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подразделу 0103 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уменьшены на 1,0 тыс. рублей (-0,1%), в том числе на выплаты персоналу расходы уменьшены на 1,5 тыс. рублей, на закупки товаров, работ и услуг для обеспечения  государственных (муниципальных нужд)  расходы увеличены на 0,5 тыс. руб 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8"/>
          <w:szCs w:val="28"/>
        </w:rPr>
        <w:t xml:space="preserve"> в связи с невостребованностью </w:t>
      </w:r>
      <w:r>
        <w:rPr>
          <w:rFonts w:ascii="Times New Roman" w:hAnsi="Times New Roman"/>
          <w:sz w:val="28"/>
          <w:szCs w:val="28"/>
        </w:rPr>
        <w:t xml:space="preserve">уменьшаются</w:t>
      </w:r>
      <w:r>
        <w:rPr>
          <w:rFonts w:ascii="Times New Roman" w:hAnsi="Times New Roman"/>
          <w:sz w:val="28"/>
          <w:szCs w:val="28"/>
        </w:rPr>
        <w:t xml:space="preserve"> на 268,2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-2,6%) </w:t>
      </w:r>
      <w:r>
        <w:rPr>
          <w:rFonts w:ascii="Times New Roman" w:hAnsi="Times New Roman"/>
          <w:sz w:val="28"/>
          <w:szCs w:val="28"/>
        </w:rPr>
        <w:t xml:space="preserve">ассигнования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кущее содержание администрации муниципального образования «Город Вытегра», в том числе на закупку товаров, работ и услуг для обеспечения государственных (муниципальных) нужд - 258,4 тыс. рублей, на уплату налогов, командировочные расходы - 9,8 тыс. 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0113 «Другие общегосударственные вопросы»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целом уменьшаются </w:t>
      </w:r>
      <w:r>
        <w:rPr>
          <w:rFonts w:ascii="Times New Roman" w:hAnsi="Times New Roman"/>
          <w:sz w:val="28"/>
          <w:szCs w:val="28"/>
          <w:highlight w:val="none"/>
        </w:rPr>
        <w:t xml:space="preserve">на 34,3 тыс.рублей (-3,0%)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числе: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 землеустроительные работы расходы уменьшены на 4,5 тыс. рублей, на исполнение судебных актов и мировых соглашений  на 35,2 тыс. рублей, на выполнение других обязательств государства на 0,1 тыс. рублей;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-увеличены расходы на </w:t>
      </w:r>
      <w:r>
        <w:rPr>
          <w:rFonts w:ascii="Times New Roman" w:hAnsi="Times New Roman"/>
          <w:sz w:val="28"/>
          <w:szCs w:val="28"/>
        </w:rPr>
        <w:t xml:space="preserve">текущий ремонт помещений, находящихся в муниципальной казне, на 5,5 тыс. рублей.</w:t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уменьшение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в сумме 10,6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-0,1 %).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7813,0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</w:t>
      </w:r>
      <w:r>
        <w:rPr>
          <w:rFonts w:ascii="Times New Roman" w:hAnsi="Times New Roman"/>
          <w:sz w:val="28"/>
          <w:szCs w:val="28"/>
        </w:rPr>
        <w:t xml:space="preserve">3,0 %.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0409 «Дорожное хозяйство (дорожные фонды)»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расходы увеличиваются на 6,4 тыс. рублей, по </w:t>
      </w:r>
      <w:r>
        <w:rPr>
          <w:rFonts w:ascii="Times New Roman" w:hAnsi="Times New Roman"/>
          <w:i/>
          <w:sz w:val="28"/>
          <w:szCs w:val="28"/>
        </w:rPr>
        <w:t xml:space="preserve">подразделу 0412 «</w:t>
      </w:r>
      <w:r>
        <w:rPr>
          <w:rFonts w:ascii="Times New Roman" w:hAnsi="Times New Roman"/>
          <w:i/>
          <w:sz w:val="28"/>
          <w:szCs w:val="28"/>
        </w:rPr>
        <w:t xml:space="preserve">Другие</w:t>
      </w:r>
      <w:r>
        <w:rPr>
          <w:rFonts w:ascii="Times New Roman" w:hAnsi="Times New Roman"/>
          <w:i/>
          <w:sz w:val="28"/>
          <w:szCs w:val="28"/>
        </w:rPr>
        <w:t xml:space="preserve"> вопросы в области национальной экономики»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расходы сокращаются на 17,0 тыс. рублей.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уменьшить плановые ассигнования раздела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в целом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на 851,1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-0,4%),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–228916,1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87,5%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0501 «Жилищное  хозяйство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ассигнования увеличиваются на 181,6 тыс. рублей (+5,5%), в том числе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уменьшаются на 148,0 тыс. рублей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уплату взносов в Фонд капитального ремонта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увеличиваются на 329,6 тыс. рублей на прочие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мероприятия в сфере жилищного хозяйства (текущие ремонты).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0502 «Коммунальное хозяйство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уменьшить </w:t>
      </w:r>
      <w:r>
        <w:rPr>
          <w:rFonts w:ascii="Times New Roman" w:hAnsi="Times New Roman"/>
          <w:sz w:val="28"/>
          <w:szCs w:val="28"/>
        </w:rPr>
        <w:t xml:space="preserve">расходы</w:t>
      </w:r>
      <w:r>
        <w:rPr>
          <w:rFonts w:ascii="Times New Roman" w:hAnsi="Times New Roman"/>
          <w:sz w:val="28"/>
          <w:szCs w:val="28"/>
        </w:rPr>
        <w:t xml:space="preserve"> на 73,4 тыс. рублей</w:t>
      </w:r>
      <w:r>
        <w:rPr>
          <w:rFonts w:ascii="Times New Roman" w:hAnsi="Times New Roman"/>
          <w:sz w:val="28"/>
          <w:szCs w:val="28"/>
        </w:rPr>
        <w:t xml:space="preserve"> (-0,1%).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</w:t>
      </w:r>
      <w:r>
        <w:rPr>
          <w:rFonts w:ascii="Times New Roman" w:hAnsi="Times New Roman"/>
          <w:sz w:val="28"/>
          <w:szCs w:val="28"/>
        </w:rPr>
        <w:t xml:space="preserve">» ассигнования уменьшаются на 959,3 тыс. рублей (-0,7%).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предлагается уменьшить </w:t>
      </w:r>
      <w:r>
        <w:rPr>
          <w:rFonts w:ascii="Times New Roman" w:hAnsi="Times New Roman"/>
          <w:sz w:val="28"/>
          <w:szCs w:val="28"/>
        </w:rPr>
        <w:t xml:space="preserve">расходы на организацию уличного освещения на 302,4 тыс. рублей, на прочие мероприятия по благоустройству - на 673,1 тыс. рублей</w:t>
      </w:r>
      <w:r>
        <w:rPr>
          <w:rFonts w:ascii="Times New Roman" w:hAnsi="Times New Roman"/>
          <w:sz w:val="28"/>
          <w:szCs w:val="28"/>
        </w:rPr>
        <w:t xml:space="preserve">, увеличить расходы на организацию и содержание мест захоронений на 16,2 тыс. рублей.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уменьшение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в разделе 12 «Средства массовой информации»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 «Периодическая печать и издательство»</w:t>
      </w:r>
      <w:r>
        <w:rPr>
          <w:rFonts w:ascii="Times New Roman" w:hAnsi="Times New Roman"/>
          <w:sz w:val="28"/>
          <w:szCs w:val="28"/>
        </w:rPr>
        <w:t xml:space="preserve">) в сумме 3,2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-12,8 %).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21,8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Проектом решения вносятся 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зменения в объемы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униципальных  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 в 2023 году увеличив</w:t>
      </w:r>
      <w:r>
        <w:rPr>
          <w:rFonts w:ascii="Times New Roman" w:hAnsi="Times New Roman"/>
          <w:sz w:val="28"/>
          <w:szCs w:val="28"/>
          <w:lang w:eastAsia="ru-RU"/>
        </w:rPr>
        <w:t xml:space="preserve">ается на 6,4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составит 88903,6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34,0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доли программного финансирования составит 0,2%.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Изменения, внесенные в финансирование муниципальных программ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2023 год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4 </w:t>
      </w:r>
      <w:r>
        <w:rPr>
          <w:rFonts w:ascii="Times New Roman" w:hAnsi="Times New Roman"/>
          <w:sz w:val="28"/>
          <w:szCs w:val="28"/>
          <w:highlight w:val="white"/>
        </w:rPr>
        <w:t xml:space="preserve">к Заключению.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азования «Город Вытегра» на 2023 год и плановый период 2024 и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24.05.2022 № 82н «О Порядке формирования и применения ко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 бюджетной класс</w:t>
      </w:r>
      <w:r>
        <w:rPr>
          <w:rFonts w:ascii="Times New Roman" w:hAnsi="Times New Roman"/>
          <w:sz w:val="28"/>
          <w:szCs w:val="28"/>
          <w:lang w:eastAsia="ru-RU"/>
        </w:rPr>
        <w:t xml:space="preserve">ификации Российской Федерации, их структуре и принципах назначения» ( ред. 01.06.2023),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период 2024 и 2025 годов).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</w:t>
      </w:r>
      <w:r>
        <w:rPr>
          <w:rFonts w:ascii="Times New Roman" w:hAnsi="Times New Roman"/>
          <w:sz w:val="28"/>
          <w:szCs w:val="28"/>
        </w:rPr>
        <w:t xml:space="preserve">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Гор</w:t>
      </w:r>
      <w:r>
        <w:rPr>
          <w:rFonts w:ascii="Times New Roman" w:hAnsi="Times New Roman"/>
          <w:sz w:val="28"/>
          <w:szCs w:val="28"/>
        </w:rPr>
        <w:t xml:space="preserve">од Вытегра».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</w:t>
      </w:r>
      <w:r>
        <w:rPr>
          <w:rFonts w:ascii="Times New Roman" w:hAnsi="Times New Roman"/>
          <w:sz w:val="28"/>
          <w:szCs w:val="28"/>
        </w:rPr>
        <w:t xml:space="preserve">.12.2</w:t>
      </w:r>
      <w:r>
        <w:rPr>
          <w:rFonts w:ascii="Times New Roman" w:hAnsi="Times New Roman"/>
          <w:sz w:val="28"/>
          <w:szCs w:val="28"/>
        </w:rPr>
        <w:t xml:space="preserve">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рассмотрению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4"/>
    <w:next w:val="874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6"/>
    <w:link w:val="700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4"/>
    <w:next w:val="87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6"/>
    <w:link w:val="717"/>
    <w:uiPriority w:val="10"/>
    <w:rPr>
      <w:sz w:val="48"/>
      <w:szCs w:val="48"/>
    </w:rPr>
  </w:style>
  <w:style w:type="paragraph" w:styleId="719">
    <w:name w:val="Subtitle"/>
    <w:basedOn w:val="874"/>
    <w:next w:val="874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6"/>
    <w:link w:val="719"/>
    <w:uiPriority w:val="11"/>
    <w:rPr>
      <w:sz w:val="24"/>
      <w:szCs w:val="24"/>
    </w:rPr>
  </w:style>
  <w:style w:type="paragraph" w:styleId="721">
    <w:name w:val="Quote"/>
    <w:basedOn w:val="874"/>
    <w:next w:val="874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4"/>
    <w:next w:val="874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4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6"/>
    <w:link w:val="725"/>
    <w:uiPriority w:val="99"/>
  </w:style>
  <w:style w:type="paragraph" w:styleId="727">
    <w:name w:val="Footer"/>
    <w:basedOn w:val="874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6"/>
    <w:link w:val="727"/>
    <w:uiPriority w:val="99"/>
  </w:style>
  <w:style w:type="paragraph" w:styleId="729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6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6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rFonts w:ascii="Calibri" w:hAnsi="Calibri" w:eastAsia="Times New Roman" w:cs="Times New Roman"/>
    </w:rPr>
  </w:style>
  <w:style w:type="paragraph" w:styleId="875">
    <w:name w:val="Heading 2"/>
    <w:basedOn w:val="874"/>
    <w:next w:val="874"/>
    <w:link w:val="889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table" w:styleId="87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Знак"/>
    <w:basedOn w:val="87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82">
    <w:name w:val="Normal (Web)"/>
    <w:basedOn w:val="874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3">
    <w:name w:val="Balloon Text"/>
    <w:basedOn w:val="874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6"/>
    <w:link w:val="88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5">
    <w:name w:val="List Paragraph"/>
    <w:basedOn w:val="874"/>
    <w:uiPriority w:val="34"/>
    <w:qFormat/>
    <w:pPr>
      <w:contextualSpacing/>
      <w:ind w:left="720"/>
    </w:pPr>
  </w:style>
  <w:style w:type="paragraph" w:styleId="886">
    <w:name w:val="Body Text"/>
    <w:basedOn w:val="874"/>
    <w:link w:val="887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87" w:customStyle="1">
    <w:name w:val="Основной текст Знак"/>
    <w:basedOn w:val="876"/>
    <w:link w:val="8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9" w:customStyle="1">
    <w:name w:val="Заголовок 2 Знак"/>
    <w:basedOn w:val="876"/>
    <w:link w:val="875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745-6E52-4E78-B34C-821ED1D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34</cp:revision>
  <dcterms:created xsi:type="dcterms:W3CDTF">2023-05-30T10:20:00Z</dcterms:created>
  <dcterms:modified xsi:type="dcterms:W3CDTF">2023-12-28T10:13:08Z</dcterms:modified>
</cp:coreProperties>
</file>