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C3" w:rsidRDefault="00032C63" w:rsidP="00BE3650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D402557" wp14:editId="10E5538C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C63" w:rsidRDefault="00032C63" w:rsidP="00BE36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на </w:t>
      </w:r>
      <w:r w:rsidR="00FC4C3A" w:rsidRPr="00B022D5">
        <w:rPr>
          <w:rFonts w:ascii="Times New Roman" w:hAnsi="Times New Roman"/>
          <w:b/>
          <w:sz w:val="28"/>
          <w:szCs w:val="28"/>
        </w:rPr>
        <w:t xml:space="preserve">проект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057F12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01D3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786D9F">
        <w:rPr>
          <w:rFonts w:ascii="Times New Roman" w:hAnsi="Times New Roman"/>
          <w:sz w:val="28"/>
          <w:szCs w:val="28"/>
        </w:rPr>
        <w:t>.2023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786D9F">
        <w:rPr>
          <w:rFonts w:ascii="Times New Roman" w:hAnsi="Times New Roman"/>
          <w:sz w:val="28"/>
          <w:szCs w:val="28"/>
        </w:rPr>
        <w:t>ия «Город Вытегра» от 19.12.2022 № 25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</w:t>
      </w:r>
      <w:r w:rsidR="00786D9F">
        <w:rPr>
          <w:rFonts w:ascii="Times New Roman" w:hAnsi="Times New Roman"/>
          <w:sz w:val="28"/>
          <w:szCs w:val="28"/>
        </w:rPr>
        <w:t>на 2023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DA3BB0" w:rsidRDefault="00DA3BB0" w:rsidP="00DA3B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</w:t>
      </w:r>
      <w:r w:rsidRPr="00B022D5">
        <w:rPr>
          <w:rFonts w:ascii="Times New Roman" w:hAnsi="Times New Roman"/>
          <w:sz w:val="28"/>
          <w:szCs w:val="28"/>
        </w:rPr>
        <w:t xml:space="preserve">Городского Совета 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>от 19</w:t>
      </w:r>
      <w:r w:rsidRPr="00645AC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2.2022 № 25 «О</w:t>
      </w:r>
      <w:r w:rsidR="00A56955">
        <w:rPr>
          <w:rFonts w:ascii="Times New Roman" w:hAnsi="Times New Roman"/>
          <w:sz w:val="28"/>
          <w:szCs w:val="28"/>
        </w:rPr>
        <w:t xml:space="preserve"> бюджете</w:t>
      </w:r>
      <w:r w:rsidR="00A56955" w:rsidRPr="00A56955">
        <w:rPr>
          <w:rFonts w:ascii="Times New Roman" w:hAnsi="Times New Roman"/>
          <w:sz w:val="28"/>
          <w:szCs w:val="28"/>
        </w:rPr>
        <w:t xml:space="preserve"> </w:t>
      </w:r>
      <w:r w:rsidR="00A56955">
        <w:rPr>
          <w:rFonts w:ascii="Times New Roman" w:hAnsi="Times New Roman"/>
          <w:sz w:val="28"/>
          <w:szCs w:val="28"/>
        </w:rPr>
        <w:t>м</w:t>
      </w:r>
      <w:r w:rsidR="00A56955" w:rsidRPr="00B022D5">
        <w:rPr>
          <w:rFonts w:ascii="Times New Roman" w:hAnsi="Times New Roman"/>
          <w:sz w:val="28"/>
          <w:szCs w:val="28"/>
        </w:rPr>
        <w:t xml:space="preserve">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>на 2023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2024 и 2025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540115" w:rsidRDefault="00DA3BB0" w:rsidP="00E82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20A4">
        <w:rPr>
          <w:rFonts w:ascii="Times New Roman" w:hAnsi="Times New Roman"/>
          <w:sz w:val="28"/>
          <w:szCs w:val="28"/>
        </w:rPr>
        <w:t>П</w:t>
      </w:r>
      <w:r w:rsidR="00E820A4" w:rsidRPr="00E2474F">
        <w:rPr>
          <w:rFonts w:ascii="Times New Roman" w:hAnsi="Times New Roman"/>
          <w:sz w:val="28"/>
          <w:szCs w:val="28"/>
        </w:rPr>
        <w:t>роектом решения п</w:t>
      </w:r>
      <w:r w:rsidR="00E820A4"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 w:rsidR="00E820A4" w:rsidRPr="00E2474F">
        <w:rPr>
          <w:rFonts w:ascii="Times New Roman" w:hAnsi="Times New Roman"/>
          <w:sz w:val="28"/>
          <w:szCs w:val="28"/>
        </w:rPr>
        <w:t>расходн</w:t>
      </w:r>
      <w:r w:rsidR="00E820A4">
        <w:rPr>
          <w:rFonts w:ascii="Times New Roman" w:hAnsi="Times New Roman"/>
          <w:sz w:val="28"/>
          <w:szCs w:val="28"/>
        </w:rPr>
        <w:t xml:space="preserve">ую части </w:t>
      </w:r>
      <w:r w:rsidR="009539C7">
        <w:rPr>
          <w:rFonts w:ascii="Times New Roman" w:hAnsi="Times New Roman"/>
          <w:sz w:val="28"/>
          <w:szCs w:val="28"/>
        </w:rPr>
        <w:t>б</w:t>
      </w:r>
      <w:r w:rsidR="00E820A4" w:rsidRPr="00E2474F">
        <w:rPr>
          <w:rFonts w:ascii="Times New Roman" w:hAnsi="Times New Roman"/>
          <w:sz w:val="28"/>
          <w:szCs w:val="28"/>
        </w:rPr>
        <w:t>юджета на 202</w:t>
      </w:r>
      <w:r w:rsidR="00E820A4">
        <w:rPr>
          <w:rFonts w:ascii="Times New Roman" w:hAnsi="Times New Roman"/>
          <w:sz w:val="28"/>
          <w:szCs w:val="28"/>
        </w:rPr>
        <w:t>3</w:t>
      </w:r>
      <w:r w:rsidR="00E820A4" w:rsidRPr="00E2474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r w:rsidR="00E820A4" w:rsidRPr="00E820A4">
        <w:rPr>
          <w:rFonts w:ascii="Times New Roman" w:hAnsi="Times New Roman"/>
          <w:sz w:val="28"/>
          <w:szCs w:val="28"/>
        </w:rPr>
        <w:t xml:space="preserve"> Изменения в показатели бюджета на 2023 год приведены в таблице: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786D9F">
              <w:rPr>
                <w:rFonts w:ascii="Times New Roman" w:hAnsi="Times New Roman"/>
                <w:sz w:val="16"/>
                <w:szCs w:val="16"/>
              </w:rPr>
              <w:t>решением о бюджете от 19.12.2022 г. № 25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2531">
              <w:rPr>
                <w:rFonts w:ascii="Times New Roman" w:hAnsi="Times New Roman"/>
                <w:sz w:val="16"/>
                <w:szCs w:val="16"/>
              </w:rPr>
              <w:t>(</w:t>
            </w:r>
            <w:r w:rsidR="009E0569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  <w:r w:rsidR="0037253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E820A4" w:rsidRPr="0080722D" w:rsidTr="00E820A4">
        <w:trPr>
          <w:trHeight w:val="254"/>
        </w:trPr>
        <w:tc>
          <w:tcPr>
            <w:tcW w:w="2972" w:type="dxa"/>
          </w:tcPr>
          <w:p w:rsidR="00E820A4" w:rsidRPr="00E820A4" w:rsidRDefault="00E820A4" w:rsidP="00E820A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820A4">
              <w:rPr>
                <w:rFonts w:ascii="Times New Roman" w:hAnsi="Times New Roman"/>
                <w:b/>
                <w:sz w:val="16"/>
                <w:szCs w:val="16"/>
              </w:rPr>
              <w:t>Доходы всего (тыс.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820A4">
              <w:rPr>
                <w:rFonts w:ascii="Times New Roman" w:hAnsi="Times New Roman"/>
                <w:b/>
                <w:sz w:val="16"/>
                <w:szCs w:val="16"/>
              </w:rPr>
              <w:t>руб.)</w:t>
            </w:r>
          </w:p>
        </w:tc>
        <w:tc>
          <w:tcPr>
            <w:tcW w:w="1985" w:type="dxa"/>
          </w:tcPr>
          <w:p w:rsidR="00E820A4" w:rsidRPr="00E820A4" w:rsidRDefault="008F3B5C" w:rsidP="00E820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271108,9</w:t>
            </w:r>
          </w:p>
        </w:tc>
        <w:tc>
          <w:tcPr>
            <w:tcW w:w="1984" w:type="dxa"/>
          </w:tcPr>
          <w:p w:rsidR="00E820A4" w:rsidRPr="00E820A4" w:rsidRDefault="00057F12" w:rsidP="00E820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305446,6</w:t>
            </w:r>
          </w:p>
        </w:tc>
        <w:tc>
          <w:tcPr>
            <w:tcW w:w="1559" w:type="dxa"/>
          </w:tcPr>
          <w:p w:rsidR="00E820A4" w:rsidRPr="00E820A4" w:rsidRDefault="00E820A4" w:rsidP="008F3B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F3B5C">
              <w:rPr>
                <w:rFonts w:ascii="Times New Roman" w:hAnsi="Times New Roman"/>
                <w:b/>
                <w:sz w:val="20"/>
                <w:szCs w:val="20"/>
              </w:rPr>
              <w:t>34337,7</w:t>
            </w:r>
          </w:p>
        </w:tc>
        <w:tc>
          <w:tcPr>
            <w:tcW w:w="1163" w:type="dxa"/>
          </w:tcPr>
          <w:p w:rsidR="00E820A4" w:rsidRPr="00E820A4" w:rsidRDefault="00E820A4" w:rsidP="00B357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B357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2,</w:t>
            </w:r>
            <w:r w:rsidR="00B357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E820A4" w:rsidRPr="0080722D" w:rsidTr="00E820A4">
        <w:trPr>
          <w:trHeight w:val="143"/>
        </w:trPr>
        <w:tc>
          <w:tcPr>
            <w:tcW w:w="2972" w:type="dxa"/>
          </w:tcPr>
          <w:p w:rsidR="00E820A4" w:rsidRPr="009D0C06" w:rsidRDefault="00E820A4" w:rsidP="00E820A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E820A4" w:rsidRPr="00643F52" w:rsidRDefault="00E820A4" w:rsidP="00E820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45679,0</w:t>
            </w:r>
          </w:p>
        </w:tc>
        <w:tc>
          <w:tcPr>
            <w:tcW w:w="1984" w:type="dxa"/>
          </w:tcPr>
          <w:p w:rsidR="00E820A4" w:rsidRPr="00643F52" w:rsidRDefault="00E820A4" w:rsidP="00E820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45679,0</w:t>
            </w:r>
          </w:p>
        </w:tc>
        <w:tc>
          <w:tcPr>
            <w:tcW w:w="1559" w:type="dxa"/>
          </w:tcPr>
          <w:p w:rsidR="00E820A4" w:rsidRPr="00643F52" w:rsidRDefault="00E820A4" w:rsidP="00E820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:rsidR="00E820A4" w:rsidRPr="00643F52" w:rsidRDefault="00E820A4" w:rsidP="00E820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20A4" w:rsidRPr="0080722D" w:rsidTr="00E820A4">
        <w:trPr>
          <w:trHeight w:val="175"/>
        </w:trPr>
        <w:tc>
          <w:tcPr>
            <w:tcW w:w="2972" w:type="dxa"/>
          </w:tcPr>
          <w:p w:rsidR="00E820A4" w:rsidRPr="009D0C06" w:rsidRDefault="00E820A4" w:rsidP="00E820A4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E820A4" w:rsidRPr="00643F52" w:rsidRDefault="008F3B5C" w:rsidP="00E820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225429,9</w:t>
            </w:r>
          </w:p>
        </w:tc>
        <w:tc>
          <w:tcPr>
            <w:tcW w:w="1984" w:type="dxa"/>
          </w:tcPr>
          <w:p w:rsidR="00E820A4" w:rsidRPr="00643F52" w:rsidRDefault="00057F12" w:rsidP="00E820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259767,6</w:t>
            </w:r>
          </w:p>
        </w:tc>
        <w:tc>
          <w:tcPr>
            <w:tcW w:w="1559" w:type="dxa"/>
          </w:tcPr>
          <w:p w:rsidR="00E820A4" w:rsidRPr="00643F52" w:rsidRDefault="00E820A4" w:rsidP="008F3B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8F3B5C">
              <w:rPr>
                <w:rFonts w:ascii="Times New Roman" w:hAnsi="Times New Roman"/>
                <w:sz w:val="20"/>
                <w:szCs w:val="20"/>
              </w:rPr>
              <w:t>34337,7</w:t>
            </w:r>
          </w:p>
        </w:tc>
        <w:tc>
          <w:tcPr>
            <w:tcW w:w="1163" w:type="dxa"/>
          </w:tcPr>
          <w:p w:rsidR="00E820A4" w:rsidRPr="00643F52" w:rsidRDefault="00E820A4" w:rsidP="00B357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B357A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357A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E820A4" w:rsidRPr="0080722D" w:rsidTr="00E820A4">
        <w:trPr>
          <w:trHeight w:val="221"/>
        </w:trPr>
        <w:tc>
          <w:tcPr>
            <w:tcW w:w="2972" w:type="dxa"/>
          </w:tcPr>
          <w:p w:rsidR="00E820A4" w:rsidRPr="00E820A4" w:rsidRDefault="00E820A4" w:rsidP="00E820A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Расходы всего (тыс. р</w:t>
            </w:r>
            <w:r w:rsidRPr="00E820A4">
              <w:rPr>
                <w:rFonts w:ascii="Times New Roman" w:hAnsi="Times New Roman"/>
                <w:b/>
                <w:sz w:val="16"/>
                <w:szCs w:val="16"/>
              </w:rPr>
              <w:t>уб.)</w:t>
            </w:r>
          </w:p>
        </w:tc>
        <w:tc>
          <w:tcPr>
            <w:tcW w:w="1985" w:type="dxa"/>
          </w:tcPr>
          <w:p w:rsidR="00E820A4" w:rsidRPr="00057F12" w:rsidRDefault="008F3B5C" w:rsidP="00E820A4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275139,9</w:t>
            </w:r>
          </w:p>
        </w:tc>
        <w:tc>
          <w:tcPr>
            <w:tcW w:w="1984" w:type="dxa"/>
          </w:tcPr>
          <w:p w:rsidR="00E820A4" w:rsidRPr="00E820A4" w:rsidRDefault="00057F12" w:rsidP="00E820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309477,6</w:t>
            </w:r>
          </w:p>
        </w:tc>
        <w:tc>
          <w:tcPr>
            <w:tcW w:w="1559" w:type="dxa"/>
          </w:tcPr>
          <w:p w:rsidR="00E820A4" w:rsidRPr="00E820A4" w:rsidRDefault="00E820A4" w:rsidP="008F3B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8F3B5C">
              <w:rPr>
                <w:rFonts w:ascii="Times New Roman" w:hAnsi="Times New Roman"/>
                <w:b/>
                <w:sz w:val="20"/>
                <w:szCs w:val="20"/>
              </w:rPr>
              <w:t>34337,7</w:t>
            </w:r>
          </w:p>
        </w:tc>
        <w:tc>
          <w:tcPr>
            <w:tcW w:w="1163" w:type="dxa"/>
          </w:tcPr>
          <w:p w:rsidR="00E820A4" w:rsidRPr="00E820A4" w:rsidRDefault="00E820A4" w:rsidP="00B357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B357A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357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E820A4" w:rsidRPr="0080722D" w:rsidTr="00643F52">
        <w:trPr>
          <w:trHeight w:val="391"/>
        </w:trPr>
        <w:tc>
          <w:tcPr>
            <w:tcW w:w="2972" w:type="dxa"/>
          </w:tcPr>
          <w:p w:rsidR="00E820A4" w:rsidRPr="00E820A4" w:rsidRDefault="00E820A4" w:rsidP="000D437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820A4">
              <w:rPr>
                <w:rFonts w:ascii="Times New Roman" w:hAnsi="Times New Roman"/>
                <w:b/>
                <w:sz w:val="16"/>
                <w:szCs w:val="16"/>
              </w:rPr>
              <w:t>Дефицит (-</w:t>
            </w:r>
            <w:r w:rsidR="000D4372" w:rsidRPr="00E820A4">
              <w:rPr>
                <w:rFonts w:ascii="Times New Roman" w:hAnsi="Times New Roman"/>
                <w:b/>
                <w:sz w:val="16"/>
                <w:szCs w:val="16"/>
              </w:rPr>
              <w:t>) (</w:t>
            </w:r>
            <w:r w:rsidRPr="00E820A4">
              <w:rPr>
                <w:rFonts w:ascii="Times New Roman" w:hAnsi="Times New Roman"/>
                <w:b/>
                <w:sz w:val="16"/>
                <w:szCs w:val="16"/>
              </w:rPr>
              <w:t>профицит (+</w:t>
            </w:r>
            <w:r w:rsidR="000D4372" w:rsidRPr="00E820A4">
              <w:rPr>
                <w:rFonts w:ascii="Times New Roman" w:hAnsi="Times New Roman"/>
                <w:b/>
                <w:sz w:val="16"/>
                <w:szCs w:val="16"/>
              </w:rPr>
              <w:t>) бюджета</w:t>
            </w:r>
          </w:p>
        </w:tc>
        <w:tc>
          <w:tcPr>
            <w:tcW w:w="1985" w:type="dxa"/>
          </w:tcPr>
          <w:p w:rsidR="00E820A4" w:rsidRPr="00E820A4" w:rsidRDefault="00E820A4" w:rsidP="00E820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-4031,0</w:t>
            </w:r>
          </w:p>
        </w:tc>
        <w:tc>
          <w:tcPr>
            <w:tcW w:w="1984" w:type="dxa"/>
          </w:tcPr>
          <w:p w:rsidR="00E820A4" w:rsidRPr="00E820A4" w:rsidRDefault="00E820A4" w:rsidP="00E820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-4031,0</w:t>
            </w:r>
          </w:p>
        </w:tc>
        <w:tc>
          <w:tcPr>
            <w:tcW w:w="1559" w:type="dxa"/>
          </w:tcPr>
          <w:p w:rsidR="00E820A4" w:rsidRPr="00E820A4" w:rsidRDefault="00E820A4" w:rsidP="00E820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:rsidR="00E820A4" w:rsidRPr="00E820A4" w:rsidRDefault="00E820A4" w:rsidP="00E820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0A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E20" w:rsidRDefault="009539C7" w:rsidP="00953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увеличится на </w:t>
      </w:r>
      <w:r w:rsidR="007170A5">
        <w:rPr>
          <w:rFonts w:ascii="Times New Roman" w:hAnsi="Times New Roman"/>
          <w:sz w:val="28"/>
          <w:szCs w:val="28"/>
        </w:rPr>
        <w:t>34337,7</w:t>
      </w:r>
      <w:r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7170A5">
        <w:rPr>
          <w:rFonts w:ascii="Times New Roman" w:hAnsi="Times New Roman"/>
          <w:sz w:val="28"/>
          <w:szCs w:val="28"/>
        </w:rPr>
        <w:t>305446,6</w:t>
      </w:r>
      <w:r>
        <w:rPr>
          <w:rFonts w:ascii="Times New Roman" w:hAnsi="Times New Roman"/>
          <w:sz w:val="28"/>
          <w:szCs w:val="28"/>
        </w:rPr>
        <w:t xml:space="preserve"> тыс. рублей. План поступлений налоговых и неналоговых доходов останется без изменений и составит 45679,0 тыс. рублей</w:t>
      </w:r>
      <w:r w:rsidRPr="002A01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Объем безвозмездных поступлений увеличится на </w:t>
      </w:r>
      <w:r w:rsidR="007170A5">
        <w:rPr>
          <w:rFonts w:ascii="Times New Roman" w:hAnsi="Times New Roman"/>
          <w:sz w:val="28"/>
          <w:szCs w:val="28"/>
        </w:rPr>
        <w:t>34337,7</w:t>
      </w:r>
      <w:r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7170A5">
        <w:rPr>
          <w:rFonts w:ascii="Times New Roman" w:hAnsi="Times New Roman"/>
          <w:sz w:val="28"/>
          <w:szCs w:val="28"/>
        </w:rPr>
        <w:t>259767,6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9539C7" w:rsidRDefault="009539C7" w:rsidP="00953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уточнений по каждому виду доходов на 2023 год представлены в таблице</w:t>
      </w:r>
      <w:r w:rsidRPr="001C534C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 w:rsidR="009539C7" w:rsidRPr="00EC7B5C" w:rsidTr="001E1AC7">
        <w:trPr>
          <w:trHeight w:val="488"/>
        </w:trPr>
        <w:tc>
          <w:tcPr>
            <w:tcW w:w="3114" w:type="dxa"/>
          </w:tcPr>
          <w:p w:rsidR="009539C7" w:rsidRPr="00EC7B5C" w:rsidRDefault="009539C7" w:rsidP="001E1A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доходных источников</w:t>
            </w:r>
          </w:p>
        </w:tc>
        <w:tc>
          <w:tcPr>
            <w:tcW w:w="2268" w:type="dxa"/>
          </w:tcPr>
          <w:p w:rsidR="009539C7" w:rsidRDefault="009539C7" w:rsidP="009539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>ерждено решением о бюджете от 19.12.2022 № 25</w:t>
            </w:r>
          </w:p>
          <w:p w:rsidR="00372531" w:rsidRPr="00EC7B5C" w:rsidRDefault="00372531" w:rsidP="009539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 изменениями)</w:t>
            </w:r>
          </w:p>
        </w:tc>
        <w:tc>
          <w:tcPr>
            <w:tcW w:w="1984" w:type="dxa"/>
          </w:tcPr>
          <w:p w:rsidR="009539C7" w:rsidRPr="00EC7B5C" w:rsidRDefault="009539C7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985" w:type="dxa"/>
          </w:tcPr>
          <w:p w:rsidR="009539C7" w:rsidRPr="00EC7B5C" w:rsidRDefault="009539C7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</w:tr>
      <w:tr w:rsidR="009539C7" w:rsidRPr="00EC7B5C" w:rsidTr="001E1AC7">
        <w:trPr>
          <w:trHeight w:val="313"/>
        </w:trPr>
        <w:tc>
          <w:tcPr>
            <w:tcW w:w="3114" w:type="dxa"/>
            <w:vAlign w:val="center"/>
          </w:tcPr>
          <w:p w:rsidR="009539C7" w:rsidRPr="000C23DA" w:rsidRDefault="009539C7" w:rsidP="001E1AC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C23D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и неналоговые доходы  </w:t>
            </w:r>
          </w:p>
        </w:tc>
        <w:tc>
          <w:tcPr>
            <w:tcW w:w="2268" w:type="dxa"/>
            <w:vAlign w:val="center"/>
          </w:tcPr>
          <w:p w:rsidR="009539C7" w:rsidRPr="000C23DA" w:rsidRDefault="009539C7" w:rsidP="001E1A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45679,0</w:t>
            </w:r>
          </w:p>
        </w:tc>
        <w:tc>
          <w:tcPr>
            <w:tcW w:w="1984" w:type="dxa"/>
            <w:vAlign w:val="center"/>
          </w:tcPr>
          <w:p w:rsidR="009539C7" w:rsidRPr="000C23DA" w:rsidRDefault="009539C7" w:rsidP="001E1A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45679,0</w:t>
            </w:r>
          </w:p>
        </w:tc>
        <w:tc>
          <w:tcPr>
            <w:tcW w:w="1985" w:type="dxa"/>
            <w:vAlign w:val="center"/>
          </w:tcPr>
          <w:p w:rsidR="009539C7" w:rsidRPr="000C23DA" w:rsidRDefault="009539C7" w:rsidP="001E1A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99478F" w:rsidRPr="00EC7B5C" w:rsidTr="00366148">
        <w:trPr>
          <w:trHeight w:val="275"/>
        </w:trPr>
        <w:tc>
          <w:tcPr>
            <w:tcW w:w="3114" w:type="dxa"/>
          </w:tcPr>
          <w:p w:rsidR="0099478F" w:rsidRPr="00177C68" w:rsidRDefault="0099478F" w:rsidP="0099478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77C68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</w:tcPr>
          <w:p w:rsidR="0099478F" w:rsidRPr="009539C7" w:rsidRDefault="0099478F" w:rsidP="009947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39C7">
              <w:rPr>
                <w:rFonts w:ascii="Times New Roman" w:hAnsi="Times New Roman"/>
                <w:b/>
                <w:sz w:val="16"/>
                <w:szCs w:val="16"/>
              </w:rPr>
              <w:t>225429,9</w:t>
            </w:r>
          </w:p>
        </w:tc>
        <w:tc>
          <w:tcPr>
            <w:tcW w:w="1984" w:type="dxa"/>
          </w:tcPr>
          <w:p w:rsidR="0099478F" w:rsidRPr="00372531" w:rsidRDefault="00372531" w:rsidP="0099478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2531">
              <w:rPr>
                <w:rFonts w:ascii="Times New Roman" w:hAnsi="Times New Roman"/>
                <w:sz w:val="16"/>
                <w:szCs w:val="16"/>
              </w:rPr>
              <w:t>259767,6</w:t>
            </w:r>
          </w:p>
        </w:tc>
        <w:tc>
          <w:tcPr>
            <w:tcW w:w="1985" w:type="dxa"/>
            <w:vAlign w:val="center"/>
          </w:tcPr>
          <w:p w:rsidR="0099478F" w:rsidRPr="009539C7" w:rsidRDefault="0099478F" w:rsidP="0037253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39C7">
              <w:rPr>
                <w:rFonts w:ascii="Times New Roman" w:hAnsi="Times New Roman"/>
                <w:b/>
                <w:sz w:val="16"/>
                <w:szCs w:val="16"/>
              </w:rPr>
              <w:t xml:space="preserve">+ </w:t>
            </w:r>
            <w:r w:rsidR="00372531">
              <w:rPr>
                <w:rFonts w:ascii="Times New Roman" w:hAnsi="Times New Roman"/>
                <w:b/>
                <w:sz w:val="16"/>
                <w:szCs w:val="16"/>
              </w:rPr>
              <w:t>34337,7</w:t>
            </w:r>
          </w:p>
        </w:tc>
      </w:tr>
      <w:tr w:rsidR="0099478F" w:rsidRPr="00EC7B5C" w:rsidTr="001E1AC7">
        <w:trPr>
          <w:trHeight w:val="271"/>
        </w:trPr>
        <w:tc>
          <w:tcPr>
            <w:tcW w:w="3114" w:type="dxa"/>
          </w:tcPr>
          <w:p w:rsidR="0099478F" w:rsidRDefault="0099478F" w:rsidP="0099478F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99478F" w:rsidRDefault="0099478F" w:rsidP="00994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10685,0</w:t>
            </w:r>
          </w:p>
        </w:tc>
        <w:tc>
          <w:tcPr>
            <w:tcW w:w="1984" w:type="dxa"/>
            <w:vAlign w:val="center"/>
          </w:tcPr>
          <w:p w:rsidR="0099478F" w:rsidRDefault="00372531" w:rsidP="00994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45022,7</w:t>
            </w:r>
          </w:p>
        </w:tc>
        <w:tc>
          <w:tcPr>
            <w:tcW w:w="1985" w:type="dxa"/>
            <w:vAlign w:val="center"/>
          </w:tcPr>
          <w:p w:rsidR="0099478F" w:rsidRPr="00EC7B5C" w:rsidRDefault="00372531" w:rsidP="00994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+34337,7</w:t>
            </w:r>
          </w:p>
        </w:tc>
      </w:tr>
      <w:tr w:rsidR="0099478F" w:rsidRPr="00EC7B5C" w:rsidTr="001E1AC7">
        <w:trPr>
          <w:trHeight w:val="271"/>
        </w:trPr>
        <w:tc>
          <w:tcPr>
            <w:tcW w:w="3114" w:type="dxa"/>
          </w:tcPr>
          <w:p w:rsidR="0099478F" w:rsidRDefault="0099478F" w:rsidP="0099478F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99478F" w:rsidRDefault="0099478F" w:rsidP="00994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134495,6</w:t>
            </w:r>
          </w:p>
        </w:tc>
        <w:tc>
          <w:tcPr>
            <w:tcW w:w="1984" w:type="dxa"/>
            <w:vAlign w:val="center"/>
          </w:tcPr>
          <w:p w:rsidR="0099478F" w:rsidRDefault="0099478F" w:rsidP="00994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134495,6</w:t>
            </w:r>
          </w:p>
        </w:tc>
        <w:tc>
          <w:tcPr>
            <w:tcW w:w="1985" w:type="dxa"/>
            <w:vAlign w:val="center"/>
          </w:tcPr>
          <w:p w:rsidR="0099478F" w:rsidRPr="00EC7B5C" w:rsidRDefault="00372531" w:rsidP="009947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539C7" w:rsidRPr="00EC7B5C" w:rsidTr="001E1AC7">
        <w:trPr>
          <w:trHeight w:val="271"/>
        </w:trPr>
        <w:tc>
          <w:tcPr>
            <w:tcW w:w="3114" w:type="dxa"/>
          </w:tcPr>
          <w:p w:rsidR="009539C7" w:rsidRDefault="009539C7" w:rsidP="001E1AC7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9539C7" w:rsidRDefault="009539C7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984" w:type="dxa"/>
            <w:vAlign w:val="center"/>
          </w:tcPr>
          <w:p w:rsidR="009539C7" w:rsidRDefault="009539C7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985" w:type="dxa"/>
            <w:vAlign w:val="center"/>
          </w:tcPr>
          <w:p w:rsidR="009539C7" w:rsidRPr="00EC7B5C" w:rsidRDefault="009539C7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539C7" w:rsidRPr="00EC7B5C" w:rsidTr="001E1AC7">
        <w:trPr>
          <w:trHeight w:val="271"/>
        </w:trPr>
        <w:tc>
          <w:tcPr>
            <w:tcW w:w="3114" w:type="dxa"/>
          </w:tcPr>
          <w:p w:rsidR="009539C7" w:rsidRDefault="009539C7" w:rsidP="001E1AC7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9539C7" w:rsidRDefault="009539C7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</w:t>
            </w:r>
          </w:p>
        </w:tc>
        <w:tc>
          <w:tcPr>
            <w:tcW w:w="1984" w:type="dxa"/>
            <w:vAlign w:val="center"/>
          </w:tcPr>
          <w:p w:rsidR="009539C7" w:rsidRDefault="009539C7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</w:t>
            </w:r>
          </w:p>
        </w:tc>
        <w:tc>
          <w:tcPr>
            <w:tcW w:w="1985" w:type="dxa"/>
            <w:vAlign w:val="center"/>
          </w:tcPr>
          <w:p w:rsidR="009539C7" w:rsidRPr="00EC7B5C" w:rsidRDefault="009539C7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539C7" w:rsidRPr="00EC7B5C" w:rsidTr="001E1AC7">
        <w:trPr>
          <w:trHeight w:val="271"/>
        </w:trPr>
        <w:tc>
          <w:tcPr>
            <w:tcW w:w="3114" w:type="dxa"/>
          </w:tcPr>
          <w:p w:rsidR="009539C7" w:rsidRDefault="009539C7" w:rsidP="001E1AC7">
            <w:pPr>
              <w:rPr>
                <w:rFonts w:ascii="Times New Roman" w:hAnsi="Times New Roman"/>
                <w:sz w:val="16"/>
                <w:szCs w:val="16"/>
              </w:rPr>
            </w:pPr>
            <w:r w:rsidRPr="00177C68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268" w:type="dxa"/>
            <w:vAlign w:val="center"/>
          </w:tcPr>
          <w:p w:rsidR="009539C7" w:rsidRDefault="00372531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247,3</w:t>
            </w:r>
          </w:p>
        </w:tc>
        <w:tc>
          <w:tcPr>
            <w:tcW w:w="1984" w:type="dxa"/>
            <w:vAlign w:val="center"/>
          </w:tcPr>
          <w:p w:rsidR="009539C7" w:rsidRDefault="009539C7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247,3</w:t>
            </w:r>
          </w:p>
        </w:tc>
        <w:tc>
          <w:tcPr>
            <w:tcW w:w="1985" w:type="dxa"/>
            <w:vAlign w:val="center"/>
          </w:tcPr>
          <w:p w:rsidR="009539C7" w:rsidRPr="00EC7B5C" w:rsidRDefault="00372531" w:rsidP="001E1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9539C7" w:rsidRDefault="009539C7" w:rsidP="009539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9C7" w:rsidRDefault="009539C7" w:rsidP="009539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дотаций увеличен на </w:t>
      </w:r>
      <w:r w:rsidR="00F45C80">
        <w:rPr>
          <w:rFonts w:ascii="Times New Roman" w:hAnsi="Times New Roman"/>
          <w:sz w:val="28"/>
          <w:szCs w:val="28"/>
        </w:rPr>
        <w:t>34337,7</w:t>
      </w:r>
      <w:r>
        <w:rPr>
          <w:rFonts w:ascii="Times New Roman" w:hAnsi="Times New Roman"/>
          <w:sz w:val="28"/>
          <w:szCs w:val="28"/>
        </w:rPr>
        <w:t xml:space="preserve"> тыс. рублей за счет поступающих из районного бюджета дотаций на поддержку мер по обеспечению сбалансированности бюджетов.</w:t>
      </w:r>
    </w:p>
    <w:p w:rsidR="00391600" w:rsidRPr="00391600" w:rsidRDefault="00391600" w:rsidP="00F45C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91600">
        <w:rPr>
          <w:rFonts w:ascii="Times New Roman" w:hAnsi="Times New Roman"/>
          <w:sz w:val="28"/>
          <w:szCs w:val="28"/>
        </w:rPr>
        <w:t xml:space="preserve">Доля безвозмездных поступлений в общем объеме доходов поселения – </w:t>
      </w:r>
      <w:r>
        <w:rPr>
          <w:rFonts w:ascii="Times New Roman" w:hAnsi="Times New Roman"/>
          <w:sz w:val="28"/>
          <w:szCs w:val="28"/>
        </w:rPr>
        <w:t>8</w:t>
      </w:r>
      <w:r w:rsidR="00F45C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F45C80">
        <w:rPr>
          <w:rFonts w:ascii="Times New Roman" w:hAnsi="Times New Roman"/>
          <w:sz w:val="28"/>
          <w:szCs w:val="28"/>
        </w:rPr>
        <w:t>0</w:t>
      </w:r>
      <w:r w:rsidRPr="00391600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>1</w:t>
      </w:r>
      <w:r w:rsidR="00F45C80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600">
        <w:rPr>
          <w:rFonts w:ascii="Times New Roman" w:hAnsi="Times New Roman"/>
          <w:sz w:val="28"/>
          <w:szCs w:val="28"/>
        </w:rPr>
        <w:t xml:space="preserve">%. </w:t>
      </w:r>
    </w:p>
    <w:p w:rsidR="00391600" w:rsidRDefault="00391600" w:rsidP="003916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Расходная часть бюджета увеличится на </w:t>
      </w:r>
      <w:r w:rsidR="00EB256E">
        <w:rPr>
          <w:rFonts w:ascii="Times New Roman" w:hAnsi="Times New Roman"/>
          <w:sz w:val="28"/>
          <w:szCs w:val="28"/>
        </w:rPr>
        <w:t xml:space="preserve">34337,7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EB25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2,</w:t>
      </w:r>
      <w:r w:rsidR="00EB25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и составит </w:t>
      </w:r>
      <w:r w:rsidR="00EB256E">
        <w:rPr>
          <w:rFonts w:ascii="Times New Roman" w:hAnsi="Times New Roman"/>
          <w:sz w:val="28"/>
          <w:szCs w:val="28"/>
        </w:rPr>
        <w:t>309477,6</w:t>
      </w:r>
      <w:r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поступающих безвозмездных поступлений. </w:t>
      </w:r>
    </w:p>
    <w:p w:rsidR="00391600" w:rsidRDefault="00391600" w:rsidP="003916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результате произведенных изменений дефицит бюджета не изменится и составит </w:t>
      </w:r>
      <w:r w:rsidR="00CD376A">
        <w:rPr>
          <w:rFonts w:ascii="Times New Roman" w:hAnsi="Times New Roman"/>
          <w:sz w:val="28"/>
          <w:szCs w:val="28"/>
        </w:rPr>
        <w:t>4031,0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Pr="00CE7BB0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  <w:r w:rsidRPr="007C7BBC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600" w:rsidRDefault="00391600" w:rsidP="003916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2023 год</w:t>
      </w:r>
      <w:r w:rsidRPr="003E45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 w:rsidRPr="003E45B7">
        <w:rPr>
          <w:rFonts w:ascii="Times New Roman" w:hAnsi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3E45B7">
        <w:rPr>
          <w:rFonts w:ascii="Times New Roman" w:hAnsi="Times New Roman"/>
          <w:sz w:val="28"/>
          <w:szCs w:val="28"/>
        </w:rPr>
        <w:t>к Заключению.</w:t>
      </w:r>
    </w:p>
    <w:p w:rsidR="00932395" w:rsidRDefault="00175BB1" w:rsidP="00175B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75BB1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д</w:t>
      </w:r>
      <w:r w:rsidRPr="00175BB1">
        <w:rPr>
          <w:rFonts w:ascii="Times New Roman" w:hAnsi="Times New Roman"/>
          <w:sz w:val="28"/>
          <w:szCs w:val="28"/>
        </w:rPr>
        <w:t xml:space="preserve">ополнительно поступивших дотаций на сбалансированность в сумме </w:t>
      </w:r>
      <w:r w:rsidR="00EB256E">
        <w:rPr>
          <w:rFonts w:ascii="Times New Roman" w:hAnsi="Times New Roman"/>
          <w:sz w:val="28"/>
          <w:szCs w:val="28"/>
        </w:rPr>
        <w:t>34337,7</w:t>
      </w:r>
      <w:r w:rsidRPr="00175BB1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будут направлены на</w:t>
      </w:r>
      <w:r w:rsidR="00932395">
        <w:rPr>
          <w:rFonts w:ascii="Times New Roman" w:hAnsi="Times New Roman"/>
          <w:sz w:val="28"/>
          <w:szCs w:val="28"/>
        </w:rPr>
        <w:t>:</w:t>
      </w:r>
    </w:p>
    <w:p w:rsidR="0021020E" w:rsidRDefault="006C1560" w:rsidP="00932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32395">
        <w:rPr>
          <w:rFonts w:ascii="Times New Roman" w:hAnsi="Times New Roman"/>
          <w:sz w:val="28"/>
          <w:szCs w:val="28"/>
        </w:rPr>
        <w:t xml:space="preserve"> - </w:t>
      </w:r>
      <w:r w:rsidR="00932395" w:rsidRPr="00932395">
        <w:rPr>
          <w:rFonts w:ascii="Times New Roman" w:hAnsi="Times New Roman"/>
          <w:sz w:val="28"/>
          <w:szCs w:val="28"/>
        </w:rPr>
        <w:t>софинансировани</w:t>
      </w:r>
      <w:r w:rsidR="00932395">
        <w:rPr>
          <w:rFonts w:ascii="Times New Roman" w:hAnsi="Times New Roman"/>
          <w:sz w:val="28"/>
          <w:szCs w:val="28"/>
        </w:rPr>
        <w:t>е</w:t>
      </w:r>
      <w:r w:rsidR="00932395" w:rsidRPr="00932395">
        <w:rPr>
          <w:rFonts w:ascii="Times New Roman" w:hAnsi="Times New Roman"/>
          <w:sz w:val="28"/>
          <w:szCs w:val="28"/>
        </w:rPr>
        <w:t xml:space="preserve"> проекта «Благоустройство парка культуры и отдыха с восстановлением танцевальной площадки (</w:t>
      </w:r>
      <w:r w:rsidR="00932395">
        <w:rPr>
          <w:rFonts w:ascii="Times New Roman" w:hAnsi="Times New Roman"/>
          <w:sz w:val="28"/>
          <w:szCs w:val="28"/>
        </w:rPr>
        <w:t>«Музыка на берегу»</w:t>
      </w:r>
      <w:r w:rsidR="00932395" w:rsidRPr="00932395">
        <w:rPr>
          <w:rFonts w:ascii="Times New Roman" w:hAnsi="Times New Roman"/>
          <w:sz w:val="28"/>
          <w:szCs w:val="28"/>
        </w:rPr>
        <w:t>)</w:t>
      </w:r>
      <w:r w:rsidR="0021020E">
        <w:rPr>
          <w:rFonts w:ascii="Times New Roman" w:hAnsi="Times New Roman"/>
          <w:sz w:val="28"/>
          <w:szCs w:val="28"/>
        </w:rPr>
        <w:t>;</w:t>
      </w:r>
    </w:p>
    <w:p w:rsidR="00932395" w:rsidRDefault="00932395" w:rsidP="00932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32395">
        <w:rPr>
          <w:rFonts w:ascii="Times New Roman" w:hAnsi="Times New Roman"/>
          <w:sz w:val="28"/>
          <w:szCs w:val="28"/>
        </w:rPr>
        <w:t>- обустройств</w:t>
      </w:r>
      <w:r>
        <w:rPr>
          <w:rFonts w:ascii="Times New Roman" w:hAnsi="Times New Roman"/>
          <w:sz w:val="28"/>
          <w:szCs w:val="28"/>
        </w:rPr>
        <w:t>о</w:t>
      </w:r>
      <w:r w:rsidRPr="00932395">
        <w:rPr>
          <w:rFonts w:ascii="Times New Roman" w:hAnsi="Times New Roman"/>
          <w:sz w:val="28"/>
          <w:szCs w:val="28"/>
        </w:rPr>
        <w:t xml:space="preserve"> автопарковки у входа в Вытегорскую районную библиот</w:t>
      </w:r>
      <w:r w:rsidR="0021020E">
        <w:rPr>
          <w:rFonts w:ascii="Times New Roman" w:hAnsi="Times New Roman"/>
          <w:sz w:val="28"/>
          <w:szCs w:val="28"/>
        </w:rPr>
        <w:t>еку</w:t>
      </w:r>
      <w:r w:rsidR="00BA1BDB">
        <w:rPr>
          <w:rFonts w:ascii="Times New Roman" w:hAnsi="Times New Roman"/>
          <w:sz w:val="28"/>
          <w:szCs w:val="28"/>
        </w:rPr>
        <w:t>;</w:t>
      </w:r>
    </w:p>
    <w:p w:rsidR="00BA1BDB" w:rsidRPr="00932395" w:rsidRDefault="00BA1BDB" w:rsidP="00BA1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        </w:t>
      </w:r>
      <w:r w:rsidRPr="00932395">
        <w:rPr>
          <w:rFonts w:ascii="Times New Roman" w:hAnsi="Times New Roman"/>
          <w:sz w:val="28"/>
          <w:szCs w:val="28"/>
        </w:rPr>
        <w:t>- ремонт участка дор</w:t>
      </w:r>
      <w:r w:rsidR="0021020E">
        <w:rPr>
          <w:rFonts w:ascii="Times New Roman" w:hAnsi="Times New Roman"/>
          <w:sz w:val="28"/>
          <w:szCs w:val="28"/>
        </w:rPr>
        <w:t>оги по ул. Бараева в г. Вытегра;</w:t>
      </w:r>
    </w:p>
    <w:p w:rsidR="00BA1BDB" w:rsidRDefault="00BA1BDB" w:rsidP="00932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        -</w:t>
      </w:r>
      <w:r w:rsidRPr="00932395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</w:t>
      </w:r>
      <w:r w:rsidRPr="00932395">
        <w:rPr>
          <w:rFonts w:ascii="Times New Roman" w:hAnsi="Times New Roman"/>
          <w:sz w:val="28"/>
          <w:szCs w:val="28"/>
        </w:rPr>
        <w:t xml:space="preserve"> рабочей документации по проекту на строительство, реконструкцию (модернизацию) объектов питьевого водоснабжения в рамках регионального проекта "Чистая вода»</w:t>
      </w:r>
      <w:r>
        <w:rPr>
          <w:rFonts w:ascii="Times New Roman" w:hAnsi="Times New Roman"/>
          <w:sz w:val="28"/>
          <w:szCs w:val="28"/>
        </w:rPr>
        <w:t>.</w:t>
      </w:r>
    </w:p>
    <w:p w:rsidR="005B7943" w:rsidRPr="005B7943" w:rsidRDefault="00175BB1" w:rsidP="005B79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2735">
        <w:rPr>
          <w:rFonts w:ascii="Times New Roman" w:hAnsi="Times New Roman"/>
          <w:sz w:val="28"/>
          <w:szCs w:val="28"/>
        </w:rPr>
        <w:t xml:space="preserve">        </w:t>
      </w:r>
      <w:r w:rsidR="006C1560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5B7943">
        <w:rPr>
          <w:rFonts w:ascii="Times New Roman" w:hAnsi="Times New Roman"/>
          <w:sz w:val="28"/>
          <w:szCs w:val="28"/>
        </w:rPr>
        <w:t xml:space="preserve">увеличение </w:t>
      </w:r>
      <w:r w:rsidR="005B7943" w:rsidRPr="005B7943">
        <w:rPr>
          <w:rFonts w:ascii="Times New Roman" w:hAnsi="Times New Roman"/>
          <w:sz w:val="28"/>
          <w:szCs w:val="28"/>
        </w:rPr>
        <w:t xml:space="preserve">плановых ассигнований </w:t>
      </w:r>
      <w:r w:rsidR="005B7943" w:rsidRPr="005B7943">
        <w:rPr>
          <w:rFonts w:ascii="Times New Roman" w:hAnsi="Times New Roman"/>
          <w:b/>
          <w:sz w:val="28"/>
          <w:szCs w:val="28"/>
        </w:rPr>
        <w:t>в разделе 01 «Общегосударственные вопросы»</w:t>
      </w:r>
      <w:r w:rsidR="005B7943" w:rsidRPr="005B7943">
        <w:rPr>
          <w:rFonts w:ascii="Times New Roman" w:hAnsi="Times New Roman"/>
          <w:sz w:val="28"/>
          <w:szCs w:val="28"/>
        </w:rPr>
        <w:t xml:space="preserve"> в сумме 1</w:t>
      </w:r>
      <w:r w:rsidR="005B7943">
        <w:rPr>
          <w:rFonts w:ascii="Times New Roman" w:hAnsi="Times New Roman"/>
          <w:sz w:val="28"/>
          <w:szCs w:val="28"/>
        </w:rPr>
        <w:t>0</w:t>
      </w:r>
      <w:r w:rsidR="005B7943" w:rsidRPr="005B7943">
        <w:rPr>
          <w:rFonts w:ascii="Times New Roman" w:hAnsi="Times New Roman"/>
          <w:sz w:val="28"/>
          <w:szCs w:val="28"/>
        </w:rPr>
        <w:t>00,0 тыс. рублей (</w:t>
      </w:r>
      <w:r w:rsidR="00A6182B">
        <w:rPr>
          <w:rFonts w:ascii="Times New Roman" w:hAnsi="Times New Roman"/>
          <w:sz w:val="28"/>
          <w:szCs w:val="28"/>
        </w:rPr>
        <w:t>+</w:t>
      </w:r>
      <w:r w:rsidR="005B7943" w:rsidRPr="005B7943">
        <w:rPr>
          <w:rFonts w:ascii="Times New Roman" w:hAnsi="Times New Roman"/>
          <w:sz w:val="28"/>
          <w:szCs w:val="28"/>
        </w:rPr>
        <w:t>7</w:t>
      </w:r>
      <w:r w:rsidR="00A6182B">
        <w:rPr>
          <w:rFonts w:ascii="Times New Roman" w:hAnsi="Times New Roman"/>
          <w:sz w:val="28"/>
          <w:szCs w:val="28"/>
        </w:rPr>
        <w:t>,9</w:t>
      </w:r>
      <w:r w:rsidR="005B7943" w:rsidRPr="005B7943">
        <w:rPr>
          <w:rFonts w:ascii="Times New Roman" w:hAnsi="Times New Roman"/>
          <w:sz w:val="28"/>
          <w:szCs w:val="28"/>
        </w:rPr>
        <w:t xml:space="preserve"> %). </w:t>
      </w:r>
      <w:r w:rsidR="00BA1BDB" w:rsidRPr="005B7943">
        <w:rPr>
          <w:rFonts w:ascii="Times New Roman" w:hAnsi="Times New Roman"/>
          <w:sz w:val="28"/>
          <w:szCs w:val="28"/>
          <w:lang w:eastAsia="ru-RU"/>
        </w:rPr>
        <w:t>Общий объем средств по разделу к утверждению</w:t>
      </w:r>
      <w:r w:rsidR="00BA1BDB" w:rsidRPr="005B79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A1BDB" w:rsidRPr="00BA1BDB">
        <w:rPr>
          <w:rFonts w:ascii="Times New Roman" w:hAnsi="Times New Roman"/>
          <w:sz w:val="28"/>
          <w:szCs w:val="28"/>
          <w:lang w:eastAsia="ru-RU"/>
        </w:rPr>
        <w:t>13606,8 тыс. рублей.</w:t>
      </w:r>
      <w:r w:rsidR="00BA1B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7943" w:rsidRPr="005B7943">
        <w:rPr>
          <w:rFonts w:ascii="Times New Roman" w:hAnsi="Times New Roman"/>
          <w:sz w:val="28"/>
          <w:szCs w:val="28"/>
        </w:rPr>
        <w:t>Доля раздела в общих расходах бюджета составит 4,</w:t>
      </w:r>
      <w:r w:rsidR="00A6182B">
        <w:rPr>
          <w:rFonts w:ascii="Times New Roman" w:hAnsi="Times New Roman"/>
          <w:sz w:val="28"/>
          <w:szCs w:val="28"/>
        </w:rPr>
        <w:t>4</w:t>
      </w:r>
      <w:r w:rsidR="005B7943" w:rsidRPr="005B7943">
        <w:rPr>
          <w:rFonts w:ascii="Times New Roman" w:hAnsi="Times New Roman"/>
          <w:sz w:val="28"/>
          <w:szCs w:val="28"/>
        </w:rPr>
        <w:t xml:space="preserve"> %.</w:t>
      </w:r>
    </w:p>
    <w:p w:rsidR="006C1560" w:rsidRDefault="005B7943" w:rsidP="00CF3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Увеличиваются</w:t>
      </w:r>
      <w:r w:rsidRPr="005B7943">
        <w:rPr>
          <w:rFonts w:ascii="Times New Roman" w:hAnsi="Times New Roman"/>
          <w:sz w:val="28"/>
          <w:szCs w:val="28"/>
        </w:rPr>
        <w:t xml:space="preserve"> на 1</w:t>
      </w:r>
      <w:r>
        <w:rPr>
          <w:rFonts w:ascii="Times New Roman" w:hAnsi="Times New Roman"/>
          <w:sz w:val="28"/>
          <w:szCs w:val="28"/>
        </w:rPr>
        <w:t>0</w:t>
      </w:r>
      <w:r w:rsidRPr="005B7943">
        <w:rPr>
          <w:rFonts w:ascii="Times New Roman" w:hAnsi="Times New Roman"/>
          <w:sz w:val="28"/>
          <w:szCs w:val="28"/>
        </w:rPr>
        <w:t>00,0 тыс. рублей (</w:t>
      </w:r>
      <w:r w:rsidR="00A6182B">
        <w:rPr>
          <w:rFonts w:ascii="Times New Roman" w:hAnsi="Times New Roman"/>
          <w:sz w:val="28"/>
          <w:szCs w:val="28"/>
        </w:rPr>
        <w:t>+</w:t>
      </w:r>
      <w:r w:rsidRPr="005B7943">
        <w:rPr>
          <w:rFonts w:ascii="Times New Roman" w:hAnsi="Times New Roman"/>
          <w:sz w:val="28"/>
          <w:szCs w:val="28"/>
        </w:rPr>
        <w:t>1</w:t>
      </w:r>
      <w:r w:rsidR="00A6182B">
        <w:rPr>
          <w:rFonts w:ascii="Times New Roman" w:hAnsi="Times New Roman"/>
          <w:sz w:val="28"/>
          <w:szCs w:val="28"/>
        </w:rPr>
        <w:t>0,4</w:t>
      </w:r>
      <w:r w:rsidRPr="005B7943">
        <w:rPr>
          <w:rFonts w:ascii="Times New Roman" w:hAnsi="Times New Roman"/>
          <w:sz w:val="28"/>
          <w:szCs w:val="28"/>
        </w:rPr>
        <w:t xml:space="preserve"> %) ассигнования по </w:t>
      </w:r>
      <w:r w:rsidRPr="005B7943">
        <w:rPr>
          <w:rFonts w:ascii="Times New Roman" w:hAnsi="Times New Roman"/>
          <w:i/>
          <w:sz w:val="28"/>
          <w:szCs w:val="28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B7943">
        <w:rPr>
          <w:rFonts w:ascii="Times New Roman" w:hAnsi="Times New Roman"/>
          <w:sz w:val="28"/>
          <w:szCs w:val="28"/>
        </w:rPr>
        <w:t xml:space="preserve"> на текущее содержание администрации Муниципального образования «Город Вытегра».</w:t>
      </w:r>
    </w:p>
    <w:p w:rsidR="00A6182B" w:rsidRPr="00A6182B" w:rsidRDefault="00A6182B" w:rsidP="005B79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B7943"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увеличить плановые ассигнования раздела </w:t>
      </w:r>
      <w:r w:rsidRPr="005B7943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5B7943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eastAsia="ru-RU"/>
        </w:rPr>
        <w:t>Национальная экономика</w:t>
      </w:r>
      <w:r w:rsidRPr="005B7943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 600,0 </w:t>
      </w:r>
      <w:r w:rsidRPr="00A6182B">
        <w:rPr>
          <w:rFonts w:ascii="Times New Roman" w:hAnsi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+7,1%), в том числе по подразделу </w:t>
      </w:r>
      <w:r w:rsidRPr="00A6182B">
        <w:rPr>
          <w:rFonts w:ascii="Times New Roman" w:hAnsi="Times New Roman"/>
          <w:i/>
          <w:sz w:val="28"/>
          <w:szCs w:val="28"/>
          <w:lang w:eastAsia="ru-RU"/>
        </w:rPr>
        <w:t>0409 «Дорожное хозяйство (дорожные фонды)»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600,0 тыс. рублей (+8,6%). </w:t>
      </w:r>
      <w:r w:rsidRPr="005B7943">
        <w:rPr>
          <w:rFonts w:ascii="Times New Roman" w:hAnsi="Times New Roman"/>
          <w:sz w:val="28"/>
          <w:szCs w:val="28"/>
          <w:lang w:eastAsia="ru-RU"/>
        </w:rPr>
        <w:t>Общий объем средств по разделу к утверждению</w:t>
      </w:r>
      <w:r w:rsidRPr="005B79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B7943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9053,5 тыс. рублей</w:t>
      </w:r>
      <w:r w:rsidR="00BA1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B3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546B37" w:rsidRPr="00BA1BDB">
        <w:rPr>
          <w:rFonts w:ascii="Times New Roman" w:hAnsi="Times New Roman"/>
          <w:sz w:val="28"/>
          <w:szCs w:val="28"/>
        </w:rPr>
        <w:t>2</w:t>
      </w:r>
      <w:r w:rsidR="00BA1BDB">
        <w:rPr>
          <w:rFonts w:ascii="Times New Roman" w:hAnsi="Times New Roman"/>
          <w:sz w:val="28"/>
          <w:szCs w:val="28"/>
        </w:rPr>
        <w:t xml:space="preserve">,9 % </w:t>
      </w:r>
      <w:r w:rsidR="00BA1BDB" w:rsidRPr="005B7943">
        <w:rPr>
          <w:rFonts w:ascii="Times New Roman" w:hAnsi="Times New Roman"/>
          <w:sz w:val="28"/>
          <w:szCs w:val="28"/>
        </w:rPr>
        <w:t>в общих расходах бюджета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6182B" w:rsidRPr="00F57D0A" w:rsidRDefault="00A6182B" w:rsidP="005B7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82B">
        <w:rPr>
          <w:rFonts w:ascii="Times New Roman" w:hAnsi="Times New Roman"/>
          <w:sz w:val="28"/>
          <w:szCs w:val="28"/>
          <w:lang w:eastAsia="ru-RU"/>
        </w:rPr>
        <w:t>Изменение расходов будет произведено в рамках Муниципальной программы «Развитие транспортной системы на территории муниципального образования «Город Вытегра»</w:t>
      </w:r>
      <w:r w:rsidR="00F57D0A">
        <w:rPr>
          <w:rFonts w:ascii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 на </w:t>
      </w:r>
      <w:r w:rsidR="00F57D0A">
        <w:rPr>
          <w:rFonts w:ascii="Times New Roman" w:hAnsi="Times New Roman"/>
          <w:sz w:val="28"/>
          <w:szCs w:val="28"/>
          <w:lang w:eastAsia="ru-RU"/>
        </w:rPr>
        <w:lastRenderedPageBreak/>
        <w:t>2022-2026 гг.»</w:t>
      </w:r>
      <w:r w:rsidR="00546B37">
        <w:rPr>
          <w:rFonts w:ascii="Times New Roman" w:hAnsi="Times New Roman"/>
          <w:sz w:val="28"/>
          <w:szCs w:val="28"/>
          <w:lang w:eastAsia="ru-RU"/>
        </w:rPr>
        <w:t>,</w:t>
      </w:r>
      <w:r w:rsidR="00F57D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D0A" w:rsidRPr="00F57D0A">
        <w:rPr>
          <w:rFonts w:ascii="Times New Roman" w:hAnsi="Times New Roman"/>
          <w:i/>
          <w:sz w:val="28"/>
          <w:szCs w:val="28"/>
          <w:lang w:eastAsia="ru-RU"/>
        </w:rPr>
        <w:t>основное мероприятие 2 «Содержание</w:t>
      </w:r>
      <w:r w:rsidR="00F57D0A">
        <w:rPr>
          <w:rFonts w:ascii="Times New Roman" w:hAnsi="Times New Roman"/>
          <w:i/>
          <w:sz w:val="28"/>
          <w:szCs w:val="28"/>
          <w:lang w:eastAsia="ru-RU"/>
        </w:rPr>
        <w:t xml:space="preserve"> автомобильных дорог и искусственных сооружений». </w:t>
      </w:r>
      <w:r w:rsidR="00F57D0A" w:rsidRPr="00F57D0A">
        <w:rPr>
          <w:rFonts w:ascii="Times New Roman" w:hAnsi="Times New Roman"/>
          <w:sz w:val="28"/>
          <w:szCs w:val="28"/>
          <w:lang w:eastAsia="ru-RU"/>
        </w:rPr>
        <w:t>Средства предполагается направить на ремонт участка дороги по ул. Бараева в г. Вытегра</w:t>
      </w:r>
      <w:r w:rsidR="00F57D0A">
        <w:rPr>
          <w:rFonts w:ascii="Times New Roman" w:hAnsi="Times New Roman"/>
          <w:sz w:val="28"/>
          <w:szCs w:val="28"/>
          <w:lang w:eastAsia="ru-RU"/>
        </w:rPr>
        <w:t>.</w:t>
      </w:r>
      <w:r w:rsidR="00F57D0A" w:rsidRPr="00F57D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7943" w:rsidRPr="005B7943" w:rsidRDefault="005B7943" w:rsidP="005B7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943"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увеличить плановые ассигнования раздела </w:t>
      </w:r>
      <w:r w:rsidRPr="005B7943">
        <w:rPr>
          <w:rFonts w:ascii="Times New Roman" w:hAnsi="Times New Roman"/>
          <w:b/>
          <w:sz w:val="28"/>
          <w:szCs w:val="28"/>
          <w:lang w:eastAsia="ru-RU"/>
        </w:rPr>
        <w:t xml:space="preserve">05 «Жилищно-коммунальное хозяйство» </w:t>
      </w:r>
      <w:r w:rsidRPr="005B794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57D0A">
        <w:rPr>
          <w:rFonts w:ascii="Times New Roman" w:hAnsi="Times New Roman"/>
          <w:sz w:val="28"/>
          <w:szCs w:val="28"/>
          <w:lang w:eastAsia="ru-RU"/>
        </w:rPr>
        <w:t>32737,2</w:t>
      </w:r>
      <w:r w:rsidRPr="005B7943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F57D0A">
        <w:rPr>
          <w:rFonts w:ascii="Times New Roman" w:hAnsi="Times New Roman"/>
          <w:sz w:val="28"/>
          <w:szCs w:val="28"/>
          <w:lang w:eastAsia="ru-RU"/>
        </w:rPr>
        <w:t>13,6</w:t>
      </w:r>
      <w:r w:rsidR="00EB754A">
        <w:rPr>
          <w:rFonts w:ascii="Times New Roman" w:hAnsi="Times New Roman"/>
          <w:sz w:val="28"/>
          <w:szCs w:val="28"/>
          <w:lang w:eastAsia="ru-RU"/>
        </w:rPr>
        <w:t xml:space="preserve"> %), в том числе по подразделу</w:t>
      </w:r>
      <w:r w:rsidR="00EB754A">
        <w:rPr>
          <w:rFonts w:ascii="Times New Roman" w:hAnsi="Times New Roman"/>
          <w:sz w:val="28"/>
          <w:szCs w:val="28"/>
        </w:rPr>
        <w:t xml:space="preserve"> </w:t>
      </w:r>
      <w:r w:rsidR="00EB754A" w:rsidRPr="00175BB1">
        <w:rPr>
          <w:rFonts w:ascii="Times New Roman" w:hAnsi="Times New Roman"/>
          <w:i/>
          <w:sz w:val="28"/>
          <w:szCs w:val="28"/>
        </w:rPr>
        <w:t>0503 «Благоустройство</w:t>
      </w:r>
      <w:r w:rsidR="00EB754A">
        <w:rPr>
          <w:rFonts w:ascii="Times New Roman" w:hAnsi="Times New Roman"/>
          <w:sz w:val="28"/>
          <w:szCs w:val="28"/>
        </w:rPr>
        <w:t>» на 32737,2 тыс. рублей (+32,1%).</w:t>
      </w:r>
      <w:r w:rsidRPr="005B79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B7943">
        <w:rPr>
          <w:rFonts w:ascii="Times New Roman" w:hAnsi="Times New Roman"/>
          <w:sz w:val="28"/>
          <w:szCs w:val="28"/>
          <w:lang w:eastAsia="ru-RU"/>
        </w:rPr>
        <w:t>Общий объем средств по разделу к утверждению</w:t>
      </w:r>
      <w:r w:rsidRPr="005B79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B7943">
        <w:rPr>
          <w:rFonts w:ascii="Times New Roman" w:hAnsi="Times New Roman"/>
          <w:sz w:val="28"/>
          <w:szCs w:val="28"/>
          <w:lang w:eastAsia="ru-RU"/>
        </w:rPr>
        <w:t>– 2</w:t>
      </w:r>
      <w:r w:rsidR="00F57D0A">
        <w:rPr>
          <w:rFonts w:ascii="Times New Roman" w:hAnsi="Times New Roman"/>
          <w:sz w:val="28"/>
          <w:szCs w:val="28"/>
          <w:lang w:eastAsia="ru-RU"/>
        </w:rPr>
        <w:t>74040,0</w:t>
      </w:r>
      <w:r w:rsidRPr="005B794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546B37">
        <w:rPr>
          <w:rFonts w:ascii="Times New Roman" w:hAnsi="Times New Roman"/>
          <w:sz w:val="28"/>
          <w:szCs w:val="28"/>
          <w:lang w:eastAsia="ru-RU"/>
        </w:rPr>
        <w:t xml:space="preserve"> или 88,5%</w:t>
      </w:r>
      <w:r w:rsidR="00546B37" w:rsidRPr="00546B37">
        <w:rPr>
          <w:rFonts w:ascii="Times New Roman" w:hAnsi="Times New Roman"/>
          <w:sz w:val="28"/>
          <w:szCs w:val="28"/>
        </w:rPr>
        <w:t xml:space="preserve"> </w:t>
      </w:r>
      <w:r w:rsidR="00546B37" w:rsidRPr="005B7943">
        <w:rPr>
          <w:rFonts w:ascii="Times New Roman" w:hAnsi="Times New Roman"/>
          <w:sz w:val="28"/>
          <w:szCs w:val="28"/>
        </w:rPr>
        <w:t>в общих расходах бюджета</w:t>
      </w:r>
      <w:r w:rsidRPr="005B7943">
        <w:rPr>
          <w:rFonts w:ascii="Times New Roman" w:hAnsi="Times New Roman"/>
          <w:sz w:val="28"/>
          <w:szCs w:val="28"/>
          <w:lang w:eastAsia="ru-RU"/>
        </w:rPr>
        <w:t>.</w:t>
      </w:r>
    </w:p>
    <w:p w:rsidR="00EB754A" w:rsidRPr="00932395" w:rsidRDefault="00F57D0A" w:rsidP="00EB7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B754A">
        <w:rPr>
          <w:rFonts w:ascii="Times New Roman" w:hAnsi="Times New Roman"/>
          <w:sz w:val="28"/>
          <w:szCs w:val="28"/>
          <w:lang w:eastAsia="ru-RU"/>
        </w:rPr>
        <w:t>П</w:t>
      </w:r>
      <w:r w:rsidR="005B7943" w:rsidRPr="005B7943">
        <w:rPr>
          <w:rFonts w:ascii="Times New Roman" w:hAnsi="Times New Roman"/>
          <w:sz w:val="28"/>
          <w:szCs w:val="28"/>
        </w:rPr>
        <w:t xml:space="preserve">роектом решения предлагается увеличить </w:t>
      </w:r>
      <w:r w:rsidR="00EB754A">
        <w:rPr>
          <w:rFonts w:ascii="Times New Roman" w:hAnsi="Times New Roman"/>
          <w:sz w:val="28"/>
          <w:szCs w:val="28"/>
        </w:rPr>
        <w:t>расходы на организацию уличного освещения на 200,0 тыс. рублей, на прочие мероприятия по благоустройству на 327,0 тыс. рублей</w:t>
      </w:r>
      <w:r w:rsidR="00546B37">
        <w:rPr>
          <w:rFonts w:ascii="Times New Roman" w:hAnsi="Times New Roman"/>
          <w:sz w:val="28"/>
          <w:szCs w:val="28"/>
        </w:rPr>
        <w:t>,</w:t>
      </w:r>
      <w:r w:rsidR="00EB754A">
        <w:rPr>
          <w:rFonts w:ascii="Times New Roman" w:hAnsi="Times New Roman"/>
          <w:sz w:val="28"/>
          <w:szCs w:val="28"/>
        </w:rPr>
        <w:t xml:space="preserve"> на</w:t>
      </w:r>
      <w:r w:rsidR="00483079">
        <w:rPr>
          <w:rFonts w:ascii="Times New Roman" w:hAnsi="Times New Roman"/>
          <w:sz w:val="28"/>
          <w:szCs w:val="28"/>
        </w:rPr>
        <w:t xml:space="preserve"> софинансирование расходов по реализации проекта </w:t>
      </w:r>
      <w:r w:rsidR="00EB754A" w:rsidRPr="00932395">
        <w:rPr>
          <w:rFonts w:ascii="Times New Roman" w:hAnsi="Times New Roman"/>
          <w:sz w:val="28"/>
          <w:szCs w:val="28"/>
        </w:rPr>
        <w:t>«Благоустройство парка культуры и отдыха с восстановлением танцевальной площадки (</w:t>
      </w:r>
      <w:r w:rsidR="00EB754A">
        <w:rPr>
          <w:rFonts w:ascii="Times New Roman" w:hAnsi="Times New Roman"/>
          <w:sz w:val="28"/>
          <w:szCs w:val="28"/>
        </w:rPr>
        <w:t>«Музыка на берегу»</w:t>
      </w:r>
      <w:r w:rsidR="00EB754A" w:rsidRPr="00932395">
        <w:rPr>
          <w:rFonts w:ascii="Times New Roman" w:hAnsi="Times New Roman"/>
          <w:sz w:val="28"/>
          <w:szCs w:val="28"/>
        </w:rPr>
        <w:t>) в размере 32 210,7 тыс. рублей;</w:t>
      </w:r>
    </w:p>
    <w:p w:rsidR="005713DE" w:rsidRDefault="00A86F6D" w:rsidP="00546B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46B37">
        <w:rPr>
          <w:rFonts w:ascii="Times New Roman" w:hAnsi="Times New Roman"/>
          <w:sz w:val="28"/>
          <w:szCs w:val="28"/>
          <w:lang w:eastAsia="ru-RU"/>
        </w:rPr>
        <w:t xml:space="preserve"> Проектом решения вносятся и</w:t>
      </w:r>
      <w:r w:rsidR="00C70FE4">
        <w:rPr>
          <w:rFonts w:ascii="Times New Roman" w:hAnsi="Times New Roman"/>
          <w:sz w:val="28"/>
          <w:szCs w:val="28"/>
          <w:lang w:eastAsia="ru-RU"/>
        </w:rPr>
        <w:t xml:space="preserve">зменения в объемы финансирования </w:t>
      </w:r>
      <w:r w:rsidR="00CF338F">
        <w:rPr>
          <w:rFonts w:ascii="Times New Roman" w:hAnsi="Times New Roman"/>
          <w:sz w:val="28"/>
          <w:szCs w:val="28"/>
          <w:lang w:eastAsia="ru-RU"/>
        </w:rPr>
        <w:t>м</w:t>
      </w:r>
      <w:r w:rsidR="00CF338F" w:rsidRPr="00A6182B">
        <w:rPr>
          <w:rFonts w:ascii="Times New Roman" w:hAnsi="Times New Roman"/>
          <w:sz w:val="28"/>
          <w:szCs w:val="28"/>
          <w:lang w:eastAsia="ru-RU"/>
        </w:rPr>
        <w:t>униципальной программы «Развитие транспортной системы на территории муниципального образования «Город Вытегра»</w:t>
      </w:r>
      <w:r w:rsidR="00CF338F">
        <w:rPr>
          <w:rFonts w:ascii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 на 2022-2026 гг.»</w:t>
      </w:r>
      <w:r w:rsidR="00C70F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F338F">
        <w:rPr>
          <w:rFonts w:ascii="Times New Roman" w:hAnsi="Times New Roman"/>
          <w:sz w:val="28"/>
          <w:szCs w:val="28"/>
          <w:lang w:eastAsia="ru-RU"/>
        </w:rPr>
        <w:t>Общий объем финансирования программ у</w:t>
      </w:r>
      <w:r w:rsidR="00546B37">
        <w:rPr>
          <w:rFonts w:ascii="Times New Roman" w:hAnsi="Times New Roman"/>
          <w:sz w:val="28"/>
          <w:szCs w:val="28"/>
          <w:lang w:eastAsia="ru-RU"/>
        </w:rPr>
        <w:t xml:space="preserve">величивается на 600,0 тыс. рублей (+7,4%) </w:t>
      </w:r>
      <w:r w:rsidR="00CF338F">
        <w:rPr>
          <w:rFonts w:ascii="Times New Roman" w:hAnsi="Times New Roman"/>
          <w:sz w:val="28"/>
          <w:szCs w:val="28"/>
          <w:lang w:eastAsia="ru-RU"/>
        </w:rPr>
        <w:t xml:space="preserve">и составит </w:t>
      </w:r>
      <w:r w:rsidR="00546B37">
        <w:rPr>
          <w:rFonts w:ascii="Times New Roman" w:hAnsi="Times New Roman"/>
          <w:sz w:val="28"/>
          <w:szCs w:val="28"/>
          <w:lang w:eastAsia="ru-RU"/>
        </w:rPr>
        <w:t>142289,6</w:t>
      </w:r>
      <w:r w:rsidR="009037D6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46B37">
        <w:rPr>
          <w:rFonts w:ascii="Times New Roman" w:hAnsi="Times New Roman"/>
          <w:sz w:val="28"/>
          <w:szCs w:val="28"/>
          <w:lang w:eastAsia="ru-RU"/>
        </w:rPr>
        <w:t>46,0</w:t>
      </w:r>
      <w:r w:rsidR="009037D6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  <w:r w:rsidR="007055FB">
        <w:rPr>
          <w:rFonts w:ascii="Times New Roman" w:hAnsi="Times New Roman"/>
          <w:sz w:val="28"/>
          <w:szCs w:val="28"/>
          <w:lang w:eastAsia="ru-RU"/>
        </w:rPr>
        <w:t>Снижение доли программного финансирования составит 5,5%.</w:t>
      </w:r>
    </w:p>
    <w:p w:rsidR="007C2E53" w:rsidRDefault="009037D6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713DE" w:rsidRPr="005713DE">
        <w:rPr>
          <w:rFonts w:ascii="Times New Roman" w:hAnsi="Times New Roman"/>
          <w:sz w:val="28"/>
          <w:szCs w:val="28"/>
          <w:lang w:eastAsia="ru-RU"/>
        </w:rPr>
        <w:t xml:space="preserve"> Проектом решения вносятся соответствующие изменения в приложения к решению Городского Совета МО «Город</w:t>
      </w:r>
      <w:r w:rsidR="003724CD">
        <w:rPr>
          <w:rFonts w:ascii="Times New Roman" w:hAnsi="Times New Roman"/>
          <w:sz w:val="28"/>
          <w:szCs w:val="28"/>
          <w:lang w:eastAsia="ru-RU"/>
        </w:rPr>
        <w:t xml:space="preserve"> Вытегра» от 19.12.2022 г. № 25</w:t>
      </w:r>
      <w:r w:rsidR="005713DE" w:rsidRPr="005713DE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724CD">
        <w:rPr>
          <w:rFonts w:ascii="Times New Roman" w:hAnsi="Times New Roman"/>
          <w:sz w:val="28"/>
          <w:szCs w:val="28"/>
          <w:lang w:eastAsia="ru-RU"/>
        </w:rPr>
        <w:t>азования «Город Вытегра» на 2023 год и плановый период 2024 и 2025</w:t>
      </w:r>
      <w:r w:rsidR="005713DE" w:rsidRPr="005713DE">
        <w:rPr>
          <w:rFonts w:ascii="Times New Roman" w:hAnsi="Times New Roman"/>
          <w:sz w:val="28"/>
          <w:szCs w:val="28"/>
          <w:lang w:eastAsia="ru-RU"/>
        </w:rPr>
        <w:t xml:space="preserve"> годов».</w:t>
      </w:r>
    </w:p>
    <w:p w:rsidR="00E9761F" w:rsidRDefault="00DE73D2" w:rsidP="00DE73D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D2">
        <w:rPr>
          <w:rFonts w:ascii="Times New Roman" w:hAnsi="Times New Roman"/>
          <w:sz w:val="28"/>
          <w:szCs w:val="28"/>
          <w:lang w:eastAsia="ru-RU"/>
        </w:rPr>
        <w:t xml:space="preserve"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</w:t>
      </w:r>
      <w:r w:rsidR="00E9761F" w:rsidRPr="00E9761F">
        <w:rPr>
          <w:rFonts w:ascii="Times New Roman" w:hAnsi="Times New Roman"/>
          <w:sz w:val="28"/>
          <w:szCs w:val="28"/>
          <w:lang w:eastAsia="ru-RU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РФ от 17.05.2022 № 75н «Об утверждении кодов (перечней кодов) бюджетной классификации Российской Федерации на 2023 год (на 2023 год и пла</w:t>
      </w:r>
      <w:r w:rsidR="00E9761F">
        <w:rPr>
          <w:rFonts w:ascii="Times New Roman" w:hAnsi="Times New Roman"/>
          <w:sz w:val="28"/>
          <w:szCs w:val="28"/>
          <w:lang w:eastAsia="ru-RU"/>
        </w:rPr>
        <w:t>новый период 2024 и 2025 годов).</w:t>
      </w:r>
    </w:p>
    <w:p w:rsidR="009037D6" w:rsidRDefault="009037D6" w:rsidP="009037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6D8">
        <w:rPr>
          <w:rFonts w:ascii="Times New Roman" w:hAnsi="Times New Roman"/>
          <w:b/>
          <w:sz w:val="28"/>
          <w:szCs w:val="28"/>
        </w:rPr>
        <w:t>Анализ вносимых изменений позволяет сделать вывод об их обоснованности и целесообразности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A06364" w:rsidRPr="00793686" w:rsidRDefault="007055FB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Выводы и предложения</w:t>
      </w:r>
    </w:p>
    <w:p w:rsidR="0073743F" w:rsidRPr="00B022D5" w:rsidRDefault="00817FA6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DA6F20" w:rsidRPr="00B022D5">
        <w:rPr>
          <w:rFonts w:ascii="Times New Roman" w:hAnsi="Times New Roman"/>
          <w:sz w:val="28"/>
          <w:szCs w:val="28"/>
        </w:rPr>
        <w:t>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="00DA6F20" w:rsidRPr="00057F12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DA6F20" w:rsidRPr="00B022D5">
        <w:rPr>
          <w:rFonts w:ascii="Times New Roman" w:hAnsi="Times New Roman"/>
          <w:sz w:val="28"/>
          <w:szCs w:val="28"/>
        </w:rPr>
        <w:t>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="00DA6F20"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9037D6" w:rsidRDefault="00673127" w:rsidP="00943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E5862">
        <w:rPr>
          <w:rFonts w:ascii="Times New Roman" w:hAnsi="Times New Roman"/>
          <w:sz w:val="28"/>
          <w:szCs w:val="28"/>
        </w:rPr>
        <w:t>ия «Город Вытегра» от 19</w:t>
      </w:r>
      <w:r w:rsidR="00943FD6">
        <w:rPr>
          <w:rFonts w:ascii="Times New Roman" w:hAnsi="Times New Roman"/>
          <w:sz w:val="28"/>
          <w:szCs w:val="28"/>
        </w:rPr>
        <w:t>.12.2</w:t>
      </w:r>
      <w:r w:rsidR="009E5862">
        <w:rPr>
          <w:rFonts w:ascii="Times New Roman" w:hAnsi="Times New Roman"/>
          <w:sz w:val="28"/>
          <w:szCs w:val="28"/>
        </w:rPr>
        <w:t>022 № 25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Pr="00057F12">
        <w:rPr>
          <w:rFonts w:ascii="Times New Roman" w:hAnsi="Times New Roman"/>
          <w:b/>
          <w:sz w:val="28"/>
          <w:szCs w:val="28"/>
        </w:rPr>
        <w:t>рекомендуется</w:t>
      </w:r>
      <w:r w:rsidR="00DA6F20" w:rsidRPr="00DE73D2">
        <w:rPr>
          <w:rFonts w:ascii="Times New Roman" w:hAnsi="Times New Roman"/>
          <w:sz w:val="28"/>
          <w:szCs w:val="28"/>
        </w:rPr>
        <w:t xml:space="preserve"> </w:t>
      </w:r>
      <w:r w:rsidR="00EC246B" w:rsidRPr="009037D6">
        <w:rPr>
          <w:rFonts w:ascii="Times New Roman" w:hAnsi="Times New Roman"/>
          <w:b/>
          <w:sz w:val="28"/>
          <w:szCs w:val="28"/>
        </w:rPr>
        <w:t>к рассмотрению</w:t>
      </w:r>
      <w:r w:rsidR="00DE73D2" w:rsidRPr="009037D6">
        <w:rPr>
          <w:rFonts w:ascii="Times New Roman" w:hAnsi="Times New Roman"/>
          <w:b/>
          <w:sz w:val="28"/>
          <w:szCs w:val="28"/>
        </w:rPr>
        <w:t>.</w:t>
      </w:r>
    </w:p>
    <w:p w:rsidR="00217A30" w:rsidRDefault="00217A30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057F1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B022D5">
        <w:rPr>
          <w:rFonts w:ascii="Times New Roman" w:hAnsi="Times New Roman"/>
          <w:sz w:val="28"/>
          <w:szCs w:val="28"/>
        </w:rPr>
        <w:t xml:space="preserve"> </w:t>
      </w:r>
      <w:r w:rsidR="009037D6">
        <w:rPr>
          <w:rFonts w:ascii="Times New Roman" w:hAnsi="Times New Roman"/>
          <w:sz w:val="28"/>
          <w:szCs w:val="28"/>
        </w:rPr>
        <w:t xml:space="preserve">  </w:t>
      </w:r>
    </w:p>
    <w:p w:rsidR="00722B16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037D6">
        <w:rPr>
          <w:rFonts w:ascii="Times New Roman" w:hAnsi="Times New Roman"/>
          <w:sz w:val="28"/>
          <w:szCs w:val="28"/>
        </w:rPr>
        <w:t xml:space="preserve">     </w:t>
      </w:r>
      <w:r w:rsidR="00057F12">
        <w:rPr>
          <w:rFonts w:ascii="Times New Roman" w:hAnsi="Times New Roman"/>
          <w:sz w:val="28"/>
          <w:szCs w:val="28"/>
        </w:rPr>
        <w:t>И.А. Парфенова</w:t>
      </w:r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2C63"/>
    <w:rsid w:val="00035E5C"/>
    <w:rsid w:val="00043A96"/>
    <w:rsid w:val="00050875"/>
    <w:rsid w:val="00057F12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C4D5F"/>
    <w:rsid w:val="000D03F0"/>
    <w:rsid w:val="000D1DF4"/>
    <w:rsid w:val="000D211D"/>
    <w:rsid w:val="000D4372"/>
    <w:rsid w:val="000F6502"/>
    <w:rsid w:val="001008DC"/>
    <w:rsid w:val="00101D3F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2E20"/>
    <w:rsid w:val="0015530A"/>
    <w:rsid w:val="001630F4"/>
    <w:rsid w:val="00171E00"/>
    <w:rsid w:val="0017277A"/>
    <w:rsid w:val="00175BB1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0E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2094"/>
    <w:rsid w:val="00292160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24CD"/>
    <w:rsid w:val="00372531"/>
    <w:rsid w:val="0037388F"/>
    <w:rsid w:val="00373A04"/>
    <w:rsid w:val="00377EE9"/>
    <w:rsid w:val="00380B16"/>
    <w:rsid w:val="00380D91"/>
    <w:rsid w:val="00391600"/>
    <w:rsid w:val="00395D73"/>
    <w:rsid w:val="003962D1"/>
    <w:rsid w:val="00397680"/>
    <w:rsid w:val="003A39DA"/>
    <w:rsid w:val="003A435B"/>
    <w:rsid w:val="003A764C"/>
    <w:rsid w:val="003B00C8"/>
    <w:rsid w:val="003B0E51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246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6100F"/>
    <w:rsid w:val="004656D4"/>
    <w:rsid w:val="00474CD3"/>
    <w:rsid w:val="00480EB9"/>
    <w:rsid w:val="00483079"/>
    <w:rsid w:val="004856FE"/>
    <w:rsid w:val="004A0328"/>
    <w:rsid w:val="004A03A3"/>
    <w:rsid w:val="004B05F6"/>
    <w:rsid w:val="004B3AF8"/>
    <w:rsid w:val="004C0EC3"/>
    <w:rsid w:val="004C1627"/>
    <w:rsid w:val="004C31A2"/>
    <w:rsid w:val="004D797C"/>
    <w:rsid w:val="004E1267"/>
    <w:rsid w:val="004E2594"/>
    <w:rsid w:val="004E43C1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46B37"/>
    <w:rsid w:val="00550F01"/>
    <w:rsid w:val="00570E9E"/>
    <w:rsid w:val="005713DE"/>
    <w:rsid w:val="0057407B"/>
    <w:rsid w:val="00591811"/>
    <w:rsid w:val="00594017"/>
    <w:rsid w:val="005967D4"/>
    <w:rsid w:val="005A02A7"/>
    <w:rsid w:val="005A1DB2"/>
    <w:rsid w:val="005B01CE"/>
    <w:rsid w:val="005B06B4"/>
    <w:rsid w:val="005B7943"/>
    <w:rsid w:val="005C19FF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441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1560"/>
    <w:rsid w:val="006C4953"/>
    <w:rsid w:val="006C6793"/>
    <w:rsid w:val="006C784A"/>
    <w:rsid w:val="006E2653"/>
    <w:rsid w:val="006F0826"/>
    <w:rsid w:val="006F4069"/>
    <w:rsid w:val="007055FB"/>
    <w:rsid w:val="00707FF0"/>
    <w:rsid w:val="007170A5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86D9F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17FA6"/>
    <w:rsid w:val="0082077C"/>
    <w:rsid w:val="0082107B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83712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CA5"/>
    <w:rsid w:val="008E3D4B"/>
    <w:rsid w:val="008E7776"/>
    <w:rsid w:val="008F1159"/>
    <w:rsid w:val="008F1278"/>
    <w:rsid w:val="008F3B5C"/>
    <w:rsid w:val="008F4373"/>
    <w:rsid w:val="00900598"/>
    <w:rsid w:val="0090362C"/>
    <w:rsid w:val="009037D6"/>
    <w:rsid w:val="009062FD"/>
    <w:rsid w:val="00915411"/>
    <w:rsid w:val="00926181"/>
    <w:rsid w:val="0092633B"/>
    <w:rsid w:val="00926575"/>
    <w:rsid w:val="00926D6C"/>
    <w:rsid w:val="00926F40"/>
    <w:rsid w:val="00931F98"/>
    <w:rsid w:val="00932395"/>
    <w:rsid w:val="009356F0"/>
    <w:rsid w:val="00943FD6"/>
    <w:rsid w:val="00944A61"/>
    <w:rsid w:val="00945464"/>
    <w:rsid w:val="00950C00"/>
    <w:rsid w:val="009539C7"/>
    <w:rsid w:val="009567C9"/>
    <w:rsid w:val="009652F5"/>
    <w:rsid w:val="00973671"/>
    <w:rsid w:val="00977769"/>
    <w:rsid w:val="00981C6F"/>
    <w:rsid w:val="00983681"/>
    <w:rsid w:val="0099478F"/>
    <w:rsid w:val="009C09EE"/>
    <w:rsid w:val="009C4839"/>
    <w:rsid w:val="009C4B5E"/>
    <w:rsid w:val="009C4F11"/>
    <w:rsid w:val="009C6EBE"/>
    <w:rsid w:val="009D0C06"/>
    <w:rsid w:val="009D25CA"/>
    <w:rsid w:val="009E0569"/>
    <w:rsid w:val="009E1504"/>
    <w:rsid w:val="009E2B37"/>
    <w:rsid w:val="009E5862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56955"/>
    <w:rsid w:val="00A6182B"/>
    <w:rsid w:val="00A6381A"/>
    <w:rsid w:val="00A6441D"/>
    <w:rsid w:val="00A6444D"/>
    <w:rsid w:val="00A64D39"/>
    <w:rsid w:val="00A67A23"/>
    <w:rsid w:val="00A8612A"/>
    <w:rsid w:val="00A8688B"/>
    <w:rsid w:val="00A86F6D"/>
    <w:rsid w:val="00A90060"/>
    <w:rsid w:val="00AA0374"/>
    <w:rsid w:val="00AA37F2"/>
    <w:rsid w:val="00AA4525"/>
    <w:rsid w:val="00AA477B"/>
    <w:rsid w:val="00AA7152"/>
    <w:rsid w:val="00AA7714"/>
    <w:rsid w:val="00AB3F72"/>
    <w:rsid w:val="00AC3373"/>
    <w:rsid w:val="00AC6E20"/>
    <w:rsid w:val="00AC7DEC"/>
    <w:rsid w:val="00AD0C49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357A0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A1BDB"/>
    <w:rsid w:val="00BA1DF6"/>
    <w:rsid w:val="00BB0E11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2735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0FE4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1652"/>
    <w:rsid w:val="00CC357B"/>
    <w:rsid w:val="00CC54C1"/>
    <w:rsid w:val="00CC7A05"/>
    <w:rsid w:val="00CD376A"/>
    <w:rsid w:val="00CD5A67"/>
    <w:rsid w:val="00CE72B4"/>
    <w:rsid w:val="00CF338F"/>
    <w:rsid w:val="00CF348A"/>
    <w:rsid w:val="00CF77E9"/>
    <w:rsid w:val="00D00E1D"/>
    <w:rsid w:val="00D01163"/>
    <w:rsid w:val="00D10682"/>
    <w:rsid w:val="00D15096"/>
    <w:rsid w:val="00D20D6C"/>
    <w:rsid w:val="00D335DF"/>
    <w:rsid w:val="00D3462A"/>
    <w:rsid w:val="00D364F3"/>
    <w:rsid w:val="00D37861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3BB0"/>
    <w:rsid w:val="00DA6F20"/>
    <w:rsid w:val="00DC3404"/>
    <w:rsid w:val="00DC5473"/>
    <w:rsid w:val="00DD5357"/>
    <w:rsid w:val="00DE2AE3"/>
    <w:rsid w:val="00DE4715"/>
    <w:rsid w:val="00DE478F"/>
    <w:rsid w:val="00DE73D2"/>
    <w:rsid w:val="00E01BE7"/>
    <w:rsid w:val="00E10C42"/>
    <w:rsid w:val="00E12EE1"/>
    <w:rsid w:val="00E201E6"/>
    <w:rsid w:val="00E20BAD"/>
    <w:rsid w:val="00E21789"/>
    <w:rsid w:val="00E27C87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0A4"/>
    <w:rsid w:val="00E82D2D"/>
    <w:rsid w:val="00E908A3"/>
    <w:rsid w:val="00E928EA"/>
    <w:rsid w:val="00E92A3A"/>
    <w:rsid w:val="00E9350F"/>
    <w:rsid w:val="00E95441"/>
    <w:rsid w:val="00E95480"/>
    <w:rsid w:val="00E9680F"/>
    <w:rsid w:val="00E9761F"/>
    <w:rsid w:val="00EA3068"/>
    <w:rsid w:val="00EA5B9D"/>
    <w:rsid w:val="00EA7ADA"/>
    <w:rsid w:val="00EB08CA"/>
    <w:rsid w:val="00EB256E"/>
    <w:rsid w:val="00EB3CD8"/>
    <w:rsid w:val="00EB62AA"/>
    <w:rsid w:val="00EB754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5C80"/>
    <w:rsid w:val="00F4633A"/>
    <w:rsid w:val="00F527A5"/>
    <w:rsid w:val="00F53380"/>
    <w:rsid w:val="00F5502C"/>
    <w:rsid w:val="00F5582F"/>
    <w:rsid w:val="00F55F4B"/>
    <w:rsid w:val="00F57D0A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95E67"/>
    <w:rsid w:val="00FA30A7"/>
    <w:rsid w:val="00FA4273"/>
    <w:rsid w:val="00FA61C4"/>
    <w:rsid w:val="00FB7844"/>
    <w:rsid w:val="00FC4C3A"/>
    <w:rsid w:val="00FC56EF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B745-6E52-4E78-B34C-821ED1DB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24</cp:revision>
  <cp:lastPrinted>2023-07-25T12:38:00Z</cp:lastPrinted>
  <dcterms:created xsi:type="dcterms:W3CDTF">2023-05-30T10:20:00Z</dcterms:created>
  <dcterms:modified xsi:type="dcterms:W3CDTF">2023-07-25T12:40:00Z</dcterms:modified>
</cp:coreProperties>
</file>