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205CCA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50" w:rsidRDefault="000E4A50" w:rsidP="00A74A20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 xml:space="preserve">Т </w:t>
      </w:r>
      <w:r w:rsidR="007C64A1">
        <w:rPr>
          <w:rFonts w:ascii="Times New Roman" w:hAnsi="Times New Roman"/>
          <w:b/>
          <w:sz w:val="28"/>
          <w:szCs w:val="28"/>
        </w:rPr>
        <w:t xml:space="preserve">№ </w:t>
      </w:r>
      <w:r w:rsidR="00F30F83" w:rsidRPr="00A74A20">
        <w:rPr>
          <w:rFonts w:ascii="Times New Roman" w:hAnsi="Times New Roman"/>
          <w:b/>
          <w:sz w:val="28"/>
          <w:szCs w:val="28"/>
        </w:rPr>
        <w:t>1</w:t>
      </w:r>
      <w:r w:rsidR="00D604CA">
        <w:rPr>
          <w:rFonts w:ascii="Times New Roman" w:hAnsi="Times New Roman"/>
          <w:b/>
          <w:sz w:val="28"/>
          <w:szCs w:val="28"/>
        </w:rPr>
        <w:t>3</w:t>
      </w:r>
    </w:p>
    <w:p w:rsidR="00A86C36" w:rsidRPr="00A86C36" w:rsidRDefault="00A86C36" w:rsidP="00B92536">
      <w:pPr>
        <w:spacing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0957AC">
        <w:rPr>
          <w:rFonts w:ascii="Times New Roman" w:eastAsia="Times New Roman" w:hAnsi="Times New Roman"/>
          <w:sz w:val="28"/>
          <w:szCs w:val="28"/>
          <w:lang w:eastAsia="ru-RU"/>
        </w:rPr>
        <w:t>Андомское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B925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B925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ED3FED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E3447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0957AC">
        <w:rPr>
          <w:rFonts w:ascii="Times New Roman" w:hAnsi="Times New Roman"/>
          <w:sz w:val="28"/>
          <w:szCs w:val="28"/>
        </w:rPr>
        <w:t>Андомское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D604CA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  <w:r w:rsidR="004F554F"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E3447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D604CA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6269DB">
        <w:rPr>
          <w:rFonts w:ascii="Times New Roman" w:hAnsi="Times New Roman" w:cs="Times New Roman"/>
          <w:sz w:val="28"/>
          <w:szCs w:val="28"/>
        </w:rPr>
        <w:t>подпункт</w:t>
      </w:r>
      <w:r w:rsidR="00D604CA">
        <w:rPr>
          <w:rFonts w:ascii="Times New Roman" w:hAnsi="Times New Roman" w:cs="Times New Roman"/>
          <w:sz w:val="28"/>
          <w:szCs w:val="28"/>
        </w:rPr>
        <w:t>а</w:t>
      </w:r>
      <w:r w:rsidR="006269DB">
        <w:rPr>
          <w:rFonts w:ascii="Times New Roman" w:hAnsi="Times New Roman" w:cs="Times New Roman"/>
          <w:sz w:val="28"/>
          <w:szCs w:val="28"/>
        </w:rPr>
        <w:t xml:space="preserve"> </w:t>
      </w:r>
      <w:r w:rsidR="00171BD5">
        <w:rPr>
          <w:rFonts w:ascii="Times New Roman" w:hAnsi="Times New Roman" w:cs="Times New Roman"/>
          <w:sz w:val="28"/>
          <w:szCs w:val="28"/>
        </w:rPr>
        <w:t>2.1</w:t>
      </w:r>
      <w:r w:rsidR="006269DB">
        <w:rPr>
          <w:rFonts w:ascii="Times New Roman" w:hAnsi="Times New Roman" w:cs="Times New Roman"/>
          <w:sz w:val="28"/>
          <w:szCs w:val="28"/>
        </w:rPr>
        <w:t xml:space="preserve"> </w:t>
      </w:r>
      <w:r w:rsidR="00D604CA">
        <w:rPr>
          <w:rFonts w:ascii="Times New Roman" w:hAnsi="Times New Roman" w:cs="Times New Roman"/>
          <w:sz w:val="28"/>
          <w:szCs w:val="28"/>
        </w:rPr>
        <w:t>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D604CA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0957AC">
        <w:rPr>
          <w:rFonts w:ascii="Times New Roman" w:hAnsi="Times New Roman" w:cs="Times New Roman"/>
          <w:sz w:val="28"/>
          <w:szCs w:val="28"/>
        </w:rPr>
        <w:t>10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D604CA">
        <w:rPr>
          <w:rFonts w:ascii="Times New Roman" w:hAnsi="Times New Roman" w:cs="Times New Roman"/>
          <w:sz w:val="28"/>
          <w:szCs w:val="28"/>
        </w:rPr>
        <w:t>21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D604CA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3526EB" w:rsidRDefault="003526EB" w:rsidP="00B9253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B925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Pr="003526EB" w:rsidRDefault="003526EB" w:rsidP="00E34470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E34470" w:rsidRDefault="00EC39CF" w:rsidP="00E34470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E3447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/>
          <w:sz w:val="28"/>
          <w:szCs w:val="28"/>
        </w:rPr>
        <w:t xml:space="preserve"> не привлекались</w:t>
      </w:r>
    </w:p>
    <w:p w:rsidR="00EC39CF" w:rsidRPr="00DC63D5" w:rsidRDefault="00EC39CF" w:rsidP="00E3447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D604CA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Default="00EC39CF" w:rsidP="00E34470">
      <w:pPr>
        <w:pStyle w:val="ConsPlusNormal"/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D604CA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D604CA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</w:t>
      </w:r>
      <w:r w:rsidR="00D604CA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D604CA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E34470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0957AC">
        <w:rPr>
          <w:rFonts w:ascii="Times New Roman" w:hAnsi="Times New Roman"/>
          <w:sz w:val="28"/>
          <w:szCs w:val="28"/>
        </w:rPr>
        <w:t>Андомское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BD5" w:rsidRPr="00171BD5" w:rsidRDefault="00EC39CF" w:rsidP="00D604CA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7AC" w:rsidRPr="00BC6C39">
        <w:rPr>
          <w:rFonts w:ascii="Times New Roman" w:hAnsi="Times New Roman"/>
          <w:sz w:val="28"/>
          <w:szCs w:val="28"/>
          <w:lang w:eastAsia="ru-RU"/>
        </w:rPr>
        <w:t>162920, Вологодская область, Вытегорский район, с. Андомский Погост, ул. Центральная, д. 39.</w:t>
      </w:r>
    </w:p>
    <w:p w:rsidR="006269DB" w:rsidRDefault="00EC39CF" w:rsidP="00D604CA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0957AC">
        <w:rPr>
          <w:rFonts w:ascii="Times New Roman" w:eastAsia="Times New Roman" w:hAnsi="Times New Roman"/>
          <w:sz w:val="28"/>
          <w:szCs w:val="28"/>
          <w:lang w:eastAsia="ru-RU"/>
        </w:rPr>
        <w:t>Андомское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CE4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7AC" w:rsidRPr="00BC6C39">
        <w:rPr>
          <w:rFonts w:ascii="Times New Roman" w:eastAsia="Times New Roman" w:hAnsi="Times New Roman"/>
          <w:sz w:val="28"/>
          <w:szCs w:val="28"/>
          <w:lang w:eastAsia="ru-RU"/>
        </w:rPr>
        <w:t>Клюшева Валентина Юрьевна</w:t>
      </w:r>
      <w:r w:rsidR="00CE4F3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01.01.2022 по 20.09.2022 года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4F33">
        <w:rPr>
          <w:rFonts w:ascii="Times New Roman" w:eastAsia="Times New Roman" w:hAnsi="Times New Roman"/>
          <w:sz w:val="28"/>
          <w:szCs w:val="28"/>
          <w:lang w:eastAsia="ru-RU"/>
        </w:rPr>
        <w:t xml:space="preserve"> с 20.09.2022 года Савина Вера Анатольевна,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</w:t>
      </w:r>
      <w:r w:rsidR="00B92536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Елошина Татьяна Юрьевна. </w:t>
      </w:r>
    </w:p>
    <w:p w:rsidR="00EC39CF" w:rsidRPr="00DC63D5" w:rsidRDefault="00EC39CF" w:rsidP="00E34470">
      <w:pPr>
        <w:spacing w:after="120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D604CA">
      <w:pPr>
        <w:spacing w:after="120" w:line="274" w:lineRule="exact"/>
        <w:ind w:left="20"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D604C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D604CA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D604CA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D604C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D604CA" w:rsidRDefault="00D604CA" w:rsidP="00D604C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04CA" w:rsidRDefault="00D604CA" w:rsidP="00D604CA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08.06.2021 № 75н Приказ Министерства финансов Российской Федерации «Об утверждении кодов (перечней кодов) бюджетной классификации Российской Федерации на 2022 год (на 2022 год и плановый период 2023 и 2024 </w:t>
      </w: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годов)»;</w:t>
      </w:r>
    </w:p>
    <w:p w:rsidR="00D604CA" w:rsidRPr="008E6E91" w:rsidRDefault="00D604CA" w:rsidP="00D604CA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Pr="00DC63D5" w:rsidRDefault="00B1726D" w:rsidP="00D604C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D604C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0957AC">
        <w:rPr>
          <w:rFonts w:ascii="Times New Roman" w:hAnsi="Times New Roman"/>
          <w:sz w:val="28"/>
          <w:szCs w:val="28"/>
          <w:lang w:eastAsia="ar-SA"/>
        </w:rPr>
        <w:t>1</w:t>
      </w:r>
      <w:r w:rsidR="00D604CA">
        <w:rPr>
          <w:rFonts w:ascii="Times New Roman" w:hAnsi="Times New Roman"/>
          <w:sz w:val="28"/>
          <w:szCs w:val="28"/>
          <w:lang w:eastAsia="ar-SA"/>
        </w:rPr>
        <w:t>6</w:t>
      </w:r>
      <w:r w:rsidRPr="00DC63D5">
        <w:rPr>
          <w:rFonts w:ascii="Times New Roman" w:hAnsi="Times New Roman"/>
          <w:sz w:val="28"/>
          <w:szCs w:val="28"/>
          <w:lang w:eastAsia="ar-SA"/>
        </w:rPr>
        <w:t>.12.</w:t>
      </w:r>
      <w:r w:rsidR="00D604CA">
        <w:rPr>
          <w:rFonts w:ascii="Times New Roman" w:hAnsi="Times New Roman"/>
          <w:sz w:val="28"/>
          <w:szCs w:val="28"/>
          <w:lang w:eastAsia="ar-SA"/>
        </w:rPr>
        <w:t>2021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D604CA">
        <w:rPr>
          <w:rFonts w:ascii="Times New Roman" w:hAnsi="Times New Roman"/>
          <w:sz w:val="28"/>
          <w:szCs w:val="28"/>
          <w:lang w:eastAsia="ar-SA"/>
        </w:rPr>
        <w:t>ода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1BD5">
        <w:rPr>
          <w:rFonts w:ascii="Times New Roman" w:hAnsi="Times New Roman"/>
          <w:sz w:val="28"/>
          <w:szCs w:val="28"/>
          <w:lang w:eastAsia="ar-SA"/>
        </w:rPr>
        <w:t>2</w:t>
      </w:r>
      <w:r w:rsidR="00D604CA">
        <w:rPr>
          <w:rFonts w:ascii="Times New Roman" w:hAnsi="Times New Roman"/>
          <w:sz w:val="28"/>
          <w:szCs w:val="28"/>
          <w:lang w:eastAsia="ar-SA"/>
        </w:rPr>
        <w:t>63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D604CA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D604CA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D604CA">
        <w:rPr>
          <w:rFonts w:ascii="Times New Roman" w:hAnsi="Times New Roman"/>
          <w:sz w:val="28"/>
          <w:szCs w:val="28"/>
          <w:lang w:eastAsia="ar-SA"/>
        </w:rPr>
        <w:t>2024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0957AC" w:rsidRDefault="000957AC" w:rsidP="000957A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- </w:t>
      </w:r>
      <w:r w:rsidRPr="00D3754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BC6C39">
        <w:rPr>
          <w:rFonts w:ascii="Times New Roman" w:hAnsi="Times New Roman"/>
          <w:sz w:val="28"/>
          <w:szCs w:val="28"/>
          <w:lang w:eastAsia="ar-SA"/>
        </w:rPr>
        <w:t xml:space="preserve">14.11.2017 года № 50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56095" w:rsidRDefault="000957AC" w:rsidP="00D604CA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1726D">
        <w:rPr>
          <w:rFonts w:ascii="Times New Roman" w:hAnsi="Times New Roman"/>
          <w:sz w:val="28"/>
          <w:szCs w:val="28"/>
        </w:rPr>
        <w:t xml:space="preserve">        </w:t>
      </w:r>
      <w:r w:rsidRPr="00B64B7F">
        <w:rPr>
          <w:rFonts w:ascii="Times New Roman" w:hAnsi="Times New Roman"/>
          <w:sz w:val="28"/>
          <w:szCs w:val="28"/>
        </w:rPr>
        <w:t xml:space="preserve">Устав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B64B7F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B64B7F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30 мая </w:t>
      </w:r>
      <w:r w:rsidRPr="00B64B7F">
        <w:rPr>
          <w:rFonts w:ascii="Times New Roman" w:hAnsi="Times New Roman"/>
          <w:sz w:val="28"/>
          <w:szCs w:val="28"/>
          <w:lang w:eastAsia="ar-SA"/>
        </w:rPr>
        <w:t>2017 года № 21.</w:t>
      </w:r>
    </w:p>
    <w:p w:rsidR="00EC39CF" w:rsidRPr="00DC63D5" w:rsidRDefault="00EC39CF" w:rsidP="00D604CA">
      <w:pPr>
        <w:pStyle w:val="ConsPlusNonforma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2447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6269D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D604CA" w:rsidRDefault="006269DB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0957AC">
        <w:rPr>
          <w:rFonts w:ascii="Times New Roman" w:hAnsi="Times New Roman"/>
          <w:bCs/>
          <w:sz w:val="28"/>
          <w:szCs w:val="28"/>
          <w:lang w:eastAsia="ru-RU"/>
        </w:rPr>
        <w:t>Андомское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D604CA" w:rsidRDefault="00D604CA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D604CA" w:rsidRDefault="00D604CA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04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6269DB" w:rsidRPr="00D604CA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D604CA">
        <w:rPr>
          <w:rFonts w:ascii="Times New Roman" w:hAnsi="Times New Roman"/>
          <w:bCs/>
          <w:sz w:val="28"/>
          <w:szCs w:val="28"/>
          <w:lang w:eastAsia="ru-RU"/>
        </w:rPr>
        <w:t>инансовое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деятельности Администрации поселения осуществляется исключительно за счет собственных доходов бюджета поселения. </w:t>
      </w:r>
    </w:p>
    <w:p w:rsidR="00D604CA" w:rsidRDefault="00D604CA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626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71BD5" w:rsidRDefault="00D604CA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поселения имеет од</w:t>
      </w:r>
      <w:r w:rsidR="000957AC">
        <w:rPr>
          <w:rFonts w:ascii="Times New Roman" w:eastAsia="Times New Roman" w:hAnsi="Times New Roman"/>
          <w:bCs/>
          <w:sz w:val="28"/>
          <w:szCs w:val="28"/>
          <w:lang w:eastAsia="ru-RU"/>
        </w:rPr>
        <w:t>но подведомственное учреждение (казенное учреждение культуры «Онего»).</w:t>
      </w:r>
    </w:p>
    <w:p w:rsidR="00B1681A" w:rsidRDefault="00A4663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Default="00B1681A" w:rsidP="00B92536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B92536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Pr="00B1681A" w:rsidRDefault="00B1681A" w:rsidP="00B1681A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годового отчета об исполнении бюджета Вытегорского муниципаль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0957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0503173 «</w:t>
      </w:r>
      <w:r w:rsidR="000957AC"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баланса», </w:t>
      </w:r>
      <w:r>
        <w:rPr>
          <w:rFonts w:ascii="Times New Roman" w:hAnsi="Times New Roman"/>
          <w:sz w:val="28"/>
          <w:szCs w:val="28"/>
          <w:lang w:eastAsia="ru-RU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</w:t>
      </w:r>
      <w:r w:rsidR="000957AC">
        <w:rPr>
          <w:rFonts w:ascii="Times New Roman" w:hAnsi="Times New Roman"/>
          <w:sz w:val="28"/>
          <w:szCs w:val="28"/>
          <w:lang w:eastAsia="ru-RU"/>
        </w:rPr>
        <w:t xml:space="preserve">  0503190 «Сведения о вложениях в объекты недвижимого имущества, объектах незавершенного строительства»,</w:t>
      </w:r>
      <w:r w:rsidR="008352A7">
        <w:rPr>
          <w:rFonts w:ascii="Times New Roman" w:hAnsi="Times New Roman"/>
          <w:sz w:val="28"/>
          <w:szCs w:val="28"/>
          <w:lang w:eastAsia="ru-RU"/>
        </w:rPr>
        <w:t xml:space="preserve"> 0503296 «</w:t>
      </w:r>
      <w:r w:rsidR="008352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8352A7" w:rsidRPr="000957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исполнении судебных решений по денежным обязательствам бюджета</w:t>
      </w:r>
      <w:r w:rsidR="008352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</w:t>
      </w:r>
      <w:r w:rsidR="00835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обязательствах (ф. 0503128). 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093A48" w:rsidRDefault="00A675ED" w:rsidP="008352A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8352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55EC0" w:rsidRDefault="00855EC0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35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(Главой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Pr="003C386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352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Pr="00ED3FED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Pr="00ED3FED">
        <w:rPr>
          <w:rFonts w:ascii="Times New Roman" w:hAnsi="Times New Roman"/>
          <w:sz w:val="28"/>
          <w:szCs w:val="28"/>
        </w:rPr>
        <w:t xml:space="preserve">Инструкции № 191н по содержанию </w:t>
      </w:r>
      <w:r w:rsidR="007D567B">
        <w:rPr>
          <w:rFonts w:ascii="Times New Roman" w:hAnsi="Times New Roman"/>
          <w:sz w:val="28"/>
          <w:szCs w:val="28"/>
        </w:rPr>
        <w:t xml:space="preserve">нарушений не </w:t>
      </w:r>
      <w:r w:rsidRPr="00ED3FED">
        <w:rPr>
          <w:rFonts w:ascii="Times New Roman" w:hAnsi="Times New Roman"/>
          <w:sz w:val="28"/>
          <w:szCs w:val="28"/>
        </w:rPr>
        <w:t>установлено</w:t>
      </w:r>
      <w:r w:rsidR="007D567B">
        <w:rPr>
          <w:rFonts w:ascii="Times New Roman" w:hAnsi="Times New Roman"/>
          <w:sz w:val="28"/>
          <w:szCs w:val="28"/>
        </w:rPr>
        <w:t>.</w:t>
      </w:r>
    </w:p>
    <w:p w:rsidR="008352A7" w:rsidRPr="00351782" w:rsidRDefault="00D17011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D3FED">
        <w:rPr>
          <w:rFonts w:ascii="Times New Roman" w:hAnsi="Times New Roman"/>
          <w:b/>
          <w:sz w:val="28"/>
          <w:szCs w:val="28"/>
        </w:rPr>
        <w:t xml:space="preserve">  </w:t>
      </w:r>
      <w:r w:rsidR="008352A7" w:rsidRPr="00ED3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Осуществлена проверка контрольных соотношений между показателями форм бюджетной отчетности Администрации поселения:</w:t>
      </w:r>
    </w:p>
    <w:p w:rsidR="008352A7" w:rsidRPr="00351782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:rsidR="008352A7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:rsidR="008352A7" w:rsidRPr="005033F2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0503168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352A7" w:rsidRPr="006B32B3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0503169</w:t>
      </w:r>
      <w:r w:rsidRPr="00744B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8352A7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:rsidR="008352A7" w:rsidRPr="00351782" w:rsidRDefault="008352A7" w:rsidP="008352A7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 и Отчета ф. 050312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352A7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051325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8352A7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ф. 0503125 и Справки ф. 0503110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8352A7" w:rsidRPr="005033F2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0503175</w:t>
      </w:r>
      <w:r w:rsidRPr="005033F2">
        <w:rPr>
          <w:rFonts w:ascii="Times New Roman" w:hAnsi="Times New Roman"/>
          <w:sz w:val="28"/>
          <w:szCs w:val="28"/>
        </w:rPr>
        <w:t>;</w:t>
      </w:r>
    </w:p>
    <w:p w:rsidR="008352A7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Отчета ф. 0503127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8352A7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0503123 и Отчета ф. 0503127</w:t>
      </w:r>
      <w:r w:rsidRPr="006A189F">
        <w:rPr>
          <w:rFonts w:ascii="Times New Roman" w:hAnsi="Times New Roman"/>
          <w:sz w:val="28"/>
          <w:szCs w:val="28"/>
        </w:rPr>
        <w:t>;</w:t>
      </w:r>
    </w:p>
    <w:p w:rsidR="008352A7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8352A7" w:rsidRPr="006A189F" w:rsidRDefault="008352A7" w:rsidP="008352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ф. 0503168 и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8352A7">
        <w:rPr>
          <w:rFonts w:ascii="Times New Roman" w:hAnsi="Times New Roman"/>
          <w:sz w:val="28"/>
          <w:szCs w:val="28"/>
          <w:lang w:eastAsia="ar-SA"/>
        </w:rPr>
        <w:t>6</w:t>
      </w:r>
      <w:r w:rsidRPr="001105D1">
        <w:rPr>
          <w:rFonts w:ascii="Times New Roman" w:hAnsi="Times New Roman"/>
          <w:sz w:val="28"/>
          <w:szCs w:val="28"/>
          <w:lang w:eastAsia="ar-SA"/>
        </w:rPr>
        <w:t>.12.</w:t>
      </w:r>
      <w:r w:rsidR="00D604CA">
        <w:rPr>
          <w:rFonts w:ascii="Times New Roman" w:hAnsi="Times New Roman"/>
          <w:sz w:val="28"/>
          <w:szCs w:val="28"/>
          <w:lang w:eastAsia="ar-SA"/>
        </w:rPr>
        <w:t>2021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710032">
        <w:rPr>
          <w:rFonts w:ascii="Times New Roman" w:hAnsi="Times New Roman"/>
          <w:sz w:val="28"/>
          <w:szCs w:val="28"/>
          <w:lang w:eastAsia="ar-SA"/>
        </w:rPr>
        <w:t>2</w:t>
      </w:r>
      <w:r w:rsidR="008352A7">
        <w:rPr>
          <w:rFonts w:ascii="Times New Roman" w:hAnsi="Times New Roman"/>
          <w:sz w:val="28"/>
          <w:szCs w:val="28"/>
          <w:lang w:eastAsia="ar-SA"/>
        </w:rPr>
        <w:t>63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D604CA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D604CA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D604CA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годов» (далее – решением о бюджете поселения) и показателям сводной бюджетной росписи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D604CA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D604CA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D604CA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42F5" w:rsidRDefault="0075032F" w:rsidP="008352A7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hAnsi="Times New Roman"/>
          <w:b/>
          <w:sz w:val="28"/>
          <w:szCs w:val="28"/>
        </w:rPr>
        <w:t xml:space="preserve">     2</w:t>
      </w:r>
      <w:r w:rsidR="000942F5"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0942F5">
        <w:rPr>
          <w:rFonts w:ascii="Times New Roman" w:hAnsi="Times New Roman"/>
          <w:b/>
          <w:sz w:val="28"/>
          <w:szCs w:val="28"/>
        </w:rPr>
        <w:t xml:space="preserve">годовой </w:t>
      </w:r>
      <w:r w:rsidR="000942F5"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Pr="007353D6" w:rsidRDefault="000942F5" w:rsidP="008352A7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387CE3" w:rsidRDefault="00BD3491" w:rsidP="00387CE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сельского поселения Андомское от 29.11.2021 № 97 «Об утверждении перечня главных администраторов доходов бюджета сельского поселения Ан</w:t>
      </w:r>
      <w:r w:rsidR="00D5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домское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387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387CE3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D5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75.</w:t>
      </w:r>
    </w:p>
    <w:p w:rsidR="00D5741D" w:rsidRDefault="000942F5" w:rsidP="00D574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</w:t>
      </w:r>
      <w:r w:rsidR="00D6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 </w:t>
      </w:r>
      <w:r w:rsidR="00D5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56311,3</w:t>
      </w:r>
      <w:r w:rsidR="00710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 </w:t>
      </w:r>
      <w:r w:rsidR="00D5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5741D" w:rsidRPr="00E72254">
        <w:rPr>
          <w:rFonts w:ascii="Times New Roman" w:hAnsi="Times New Roman"/>
          <w:sz w:val="28"/>
          <w:szCs w:val="28"/>
          <w:lang w:eastAsia="ru-RU"/>
        </w:rPr>
        <w:t>разд</w:t>
      </w:r>
      <w:r w:rsidR="00D5741D">
        <w:rPr>
          <w:rFonts w:ascii="Times New Roman" w:hAnsi="Times New Roman"/>
          <w:sz w:val="28"/>
          <w:szCs w:val="28"/>
          <w:lang w:eastAsia="ru-RU"/>
        </w:rPr>
        <w:t xml:space="preserve">ел 1 «Доходы бюджета», графа 4). </w:t>
      </w:r>
      <w:r w:rsidR="00D57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5741D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</w:t>
      </w:r>
      <w:r w:rsidR="00D5741D">
        <w:rPr>
          <w:rFonts w:ascii="Times New Roman" w:eastAsia="Times New Roman" w:hAnsi="Times New Roman"/>
          <w:sz w:val="28"/>
          <w:szCs w:val="28"/>
          <w:lang w:eastAsia="ru-RU"/>
        </w:rPr>
        <w:t>доходной части п</w:t>
      </w:r>
      <w:r w:rsidR="00D5741D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574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  <w:r w:rsidR="00D5741D" w:rsidRPr="00CF2BA1">
        <w:rPr>
          <w:rFonts w:ascii="Times New Roman" w:eastAsia="Times New Roman" w:hAnsi="Times New Roman"/>
          <w:sz w:val="28"/>
          <w:szCs w:val="28"/>
          <w:lang w:eastAsia="ru-RU"/>
        </w:rPr>
        <w:t>сложилось следующее</w:t>
      </w:r>
      <w:r w:rsidR="00D5741D" w:rsidRPr="00E224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3FBA" w:rsidRPr="00A13FBA" w:rsidRDefault="00A13FBA" w:rsidP="00D574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F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A13FBA">
        <w:rPr>
          <w:rFonts w:ascii="Times New Roman" w:eastAsia="Times New Roman" w:hAnsi="Times New Roman"/>
          <w:sz w:val="20"/>
          <w:szCs w:val="20"/>
          <w:lang w:eastAsia="ru-RU"/>
        </w:rPr>
        <w:t xml:space="preserve">  (тыс. рублей)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821"/>
        <w:gridCol w:w="1541"/>
        <w:gridCol w:w="1821"/>
      </w:tblGrid>
      <w:tr w:rsidR="00D5741D" w:rsidRPr="00686BB9" w:rsidTr="00533E25">
        <w:trPr>
          <w:trHeight w:val="765"/>
        </w:trPr>
        <w:tc>
          <w:tcPr>
            <w:tcW w:w="4361" w:type="dxa"/>
            <w:shd w:val="clear" w:color="auto" w:fill="auto"/>
            <w:noWrap/>
            <w:hideMark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D5741D" w:rsidRPr="00686BB9" w:rsidRDefault="00D5741D" w:rsidP="00D5741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решением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9" w:type="dxa"/>
            <w:shd w:val="clear" w:color="auto" w:fill="auto"/>
            <w:hideMark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  <w:r w:rsidR="00A13FBA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D5741D" w:rsidRPr="00686BB9" w:rsidTr="00D5741D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D5741D" w:rsidRPr="00D5741D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D5741D" w:rsidP="00D5741D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56311,3</w:t>
            </w:r>
          </w:p>
        </w:tc>
        <w:tc>
          <w:tcPr>
            <w:tcW w:w="1559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32170,3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57,1</w:t>
            </w:r>
          </w:p>
        </w:tc>
      </w:tr>
      <w:tr w:rsidR="00D5741D" w:rsidRPr="00686BB9" w:rsidTr="00D5741D">
        <w:trPr>
          <w:trHeight w:val="180"/>
        </w:trPr>
        <w:tc>
          <w:tcPr>
            <w:tcW w:w="4361" w:type="dxa"/>
            <w:shd w:val="clear" w:color="auto" w:fill="auto"/>
            <w:hideMark/>
          </w:tcPr>
          <w:p w:rsidR="00D5741D" w:rsidRPr="00D5741D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86,3</w:t>
            </w:r>
          </w:p>
        </w:tc>
      </w:tr>
      <w:tr w:rsidR="00D5741D" w:rsidRPr="00686BB9" w:rsidTr="00D5741D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</w:tcPr>
          <w:p w:rsidR="00D5741D" w:rsidRPr="00686BB9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686BB9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D5741D" w:rsidRPr="00686BB9" w:rsidTr="00D5741D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686BB9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559" w:type="dxa"/>
            <w:shd w:val="clear" w:color="auto" w:fill="auto"/>
            <w:noWrap/>
          </w:tcPr>
          <w:p w:rsidR="00D5741D" w:rsidRPr="00686BB9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686BB9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D5741D" w:rsidRPr="00686BB9" w:rsidTr="00D5741D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D5741D" w:rsidRPr="00D5741D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D5741D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56151,3</w:t>
            </w:r>
          </w:p>
        </w:tc>
        <w:tc>
          <w:tcPr>
            <w:tcW w:w="1559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32032,3</w:t>
            </w:r>
          </w:p>
        </w:tc>
        <w:tc>
          <w:tcPr>
            <w:tcW w:w="1843" w:type="dxa"/>
            <w:shd w:val="clear" w:color="auto" w:fill="auto"/>
            <w:noWrap/>
          </w:tcPr>
          <w:p w:rsidR="00D5741D" w:rsidRPr="00D5741D" w:rsidRDefault="00A13FBA" w:rsidP="00533E25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57,0</w:t>
            </w:r>
          </w:p>
        </w:tc>
      </w:tr>
    </w:tbl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A13FBA">
        <w:rPr>
          <w:rFonts w:ascii="Times New Roman" w:eastAsia="Times New Roman" w:hAnsi="Times New Roman"/>
          <w:sz w:val="28"/>
          <w:szCs w:val="28"/>
          <w:lang w:eastAsia="ru-RU"/>
        </w:rPr>
        <w:t>32170,3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A13FBA">
        <w:rPr>
          <w:rFonts w:ascii="Times New Roman" w:eastAsia="Times New Roman" w:hAnsi="Times New Roman"/>
          <w:sz w:val="28"/>
          <w:szCs w:val="28"/>
          <w:lang w:eastAsia="ru-RU"/>
        </w:rPr>
        <w:t xml:space="preserve">57,1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E14F79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02FAE">
        <w:rPr>
          <w:rFonts w:ascii="Times New Roman" w:hAnsi="Times New Roman"/>
          <w:sz w:val="28"/>
          <w:szCs w:val="28"/>
          <w:lang w:eastAsia="ru-RU"/>
        </w:rPr>
        <w:t xml:space="preserve">        Налоговые и неналоговые доходы по главному администратору доходов исполнены в 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A13FBA">
        <w:rPr>
          <w:rFonts w:ascii="Times New Roman" w:hAnsi="Times New Roman"/>
          <w:sz w:val="28"/>
          <w:szCs w:val="28"/>
          <w:lang w:eastAsia="ru-RU"/>
        </w:rPr>
        <w:t>138,0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A13FBA">
        <w:rPr>
          <w:rFonts w:ascii="Times New Roman" w:hAnsi="Times New Roman"/>
          <w:sz w:val="28"/>
          <w:szCs w:val="28"/>
          <w:lang w:eastAsia="ru-RU"/>
        </w:rPr>
        <w:t>86,3</w:t>
      </w:r>
      <w:r w:rsidR="00301976" w:rsidRPr="00902FAE">
        <w:rPr>
          <w:rFonts w:ascii="Times New Roman" w:hAnsi="Times New Roman"/>
          <w:sz w:val="28"/>
          <w:szCs w:val="28"/>
          <w:lang w:eastAsia="ru-RU"/>
        </w:rPr>
        <w:t xml:space="preserve"> % от уточненного плана.</w:t>
      </w:r>
      <w:r w:rsidR="00F00B4A" w:rsidRPr="00902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 xml:space="preserve">В абсолютном значении план по исполнению налоговых и неналоговых доходов </w:t>
      </w:r>
      <w:r w:rsidR="00A13FB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 xml:space="preserve">выполнен на </w:t>
      </w:r>
      <w:r w:rsidR="00E14F79">
        <w:rPr>
          <w:rFonts w:ascii="Times New Roman" w:hAnsi="Times New Roman"/>
          <w:sz w:val="28"/>
          <w:szCs w:val="28"/>
          <w:lang w:eastAsia="ru-RU"/>
        </w:rPr>
        <w:t>22,0</w:t>
      </w:r>
      <w:r w:rsidR="00902FAE" w:rsidRPr="00902FAE">
        <w:rPr>
          <w:rFonts w:ascii="Times New Roman" w:hAnsi="Times New Roman"/>
          <w:sz w:val="28"/>
          <w:szCs w:val="28"/>
          <w:lang w:eastAsia="ru-RU"/>
        </w:rPr>
        <w:t xml:space="preserve"> тыс. рублей за счет неналоговых доходов</w:t>
      </w:r>
      <w:r w:rsidR="00E14F79">
        <w:rPr>
          <w:rFonts w:ascii="Times New Roman" w:hAnsi="Times New Roman"/>
          <w:sz w:val="28"/>
          <w:szCs w:val="28"/>
          <w:lang w:eastAsia="ru-RU"/>
        </w:rPr>
        <w:t>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составили </w:t>
      </w:r>
      <w:r w:rsidR="00E14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11,1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4F79">
        <w:rPr>
          <w:rFonts w:ascii="Times New Roman" w:hAnsi="Times New Roman"/>
          <w:color w:val="000000"/>
          <w:sz w:val="28"/>
          <w:szCs w:val="28"/>
          <w:lang w:eastAsia="ru-RU"/>
        </w:rPr>
        <w:t>100,9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190874" w:rsidRDefault="009766D5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49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4F79">
        <w:rPr>
          <w:rFonts w:ascii="Times New Roman" w:hAnsi="Times New Roman"/>
          <w:color w:val="000000"/>
          <w:sz w:val="28"/>
          <w:szCs w:val="28"/>
          <w:lang w:eastAsia="ru-RU"/>
        </w:rPr>
        <w:t>126,9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E14F79">
        <w:rPr>
          <w:rFonts w:ascii="Times New Roman" w:hAnsi="Times New Roman"/>
          <w:sz w:val="28"/>
          <w:szCs w:val="28"/>
          <w:lang w:eastAsia="ru-RU"/>
        </w:rPr>
        <w:t>85,2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% от утвержденных бюджетных назначений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4F79">
        <w:rPr>
          <w:rFonts w:ascii="Times New Roman" w:hAnsi="Times New Roman"/>
          <w:sz w:val="28"/>
          <w:szCs w:val="28"/>
          <w:lang w:eastAsia="ru-RU"/>
        </w:rPr>
        <w:t xml:space="preserve">представлены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доход</w:t>
      </w:r>
      <w:r w:rsidR="00E14F79">
        <w:rPr>
          <w:rFonts w:ascii="Times New Roman" w:hAnsi="Times New Roman"/>
          <w:sz w:val="28"/>
          <w:szCs w:val="28"/>
          <w:lang w:eastAsia="ru-RU"/>
        </w:rPr>
        <w:t>ами о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т оказания платных услуг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90A">
        <w:rPr>
          <w:rFonts w:ascii="Times New Roman" w:hAnsi="Times New Roman"/>
          <w:sz w:val="28"/>
          <w:szCs w:val="28"/>
          <w:lang w:eastAsia="ru-RU"/>
        </w:rPr>
        <w:t>126,9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6490A">
        <w:rPr>
          <w:rFonts w:ascii="Times New Roman" w:hAnsi="Times New Roman"/>
          <w:sz w:val="28"/>
          <w:szCs w:val="28"/>
          <w:lang w:eastAsia="ru-RU"/>
        </w:rPr>
        <w:t>117,5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% от плана)</w:t>
      </w:r>
      <w:r w:rsidR="0026490A">
        <w:rPr>
          <w:rFonts w:ascii="Times New Roman" w:hAnsi="Times New Roman"/>
          <w:sz w:val="28"/>
          <w:szCs w:val="28"/>
          <w:lang w:eastAsia="ru-RU"/>
        </w:rPr>
        <w:t>. Д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оходы от реализации имущества </w:t>
      </w:r>
      <w:r w:rsidR="0026490A">
        <w:rPr>
          <w:rFonts w:ascii="Times New Roman" w:hAnsi="Times New Roman"/>
          <w:sz w:val="28"/>
          <w:szCs w:val="28"/>
          <w:lang w:eastAsia="ru-RU"/>
        </w:rPr>
        <w:t xml:space="preserve">при плановом показателе 41,0 тыс. рублей не исполнены. 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D4940" w:rsidRDefault="00F43C1F" w:rsidP="000D4940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26490A">
        <w:rPr>
          <w:rFonts w:ascii="Times New Roman" w:hAnsi="Times New Roman"/>
          <w:sz w:val="28"/>
          <w:szCs w:val="28"/>
          <w:lang w:eastAsia="ru-RU"/>
        </w:rPr>
        <w:t>32032,3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тыс. рублей. План по безвозмездным поступлениям выполнен на </w:t>
      </w:r>
      <w:r w:rsidR="0026490A">
        <w:rPr>
          <w:rFonts w:ascii="Times New Roman" w:hAnsi="Times New Roman"/>
          <w:sz w:val="28"/>
          <w:szCs w:val="28"/>
          <w:lang w:eastAsia="ru-RU"/>
        </w:rPr>
        <w:t>57,0</w:t>
      </w:r>
      <w:r w:rsidR="00190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26490A">
        <w:rPr>
          <w:rFonts w:ascii="Times New Roman" w:hAnsi="Times New Roman"/>
          <w:sz w:val="28"/>
          <w:szCs w:val="28"/>
          <w:lang w:eastAsia="ru-RU"/>
        </w:rPr>
        <w:t xml:space="preserve">План по поступлению субсидий исполнен на 47,3 % (субсидии на капитальный ремонт дома культуры поступали по факту оплаты актов выполненных работ). </w:t>
      </w:r>
      <w:r w:rsidR="009862A9">
        <w:rPr>
          <w:rFonts w:ascii="Times New Roman" w:hAnsi="Times New Roman"/>
          <w:sz w:val="28"/>
          <w:szCs w:val="28"/>
          <w:lang w:eastAsia="ru-RU"/>
        </w:rPr>
        <w:t xml:space="preserve">Субсидии при плановом показателе 45734,4 тыс. рублей исполнены в сумме 21649,3 тыс. рублей. </w:t>
      </w:r>
      <w:r w:rsidR="0026490A">
        <w:rPr>
          <w:rFonts w:ascii="Times New Roman" w:hAnsi="Times New Roman"/>
          <w:sz w:val="28"/>
          <w:szCs w:val="28"/>
          <w:lang w:eastAsia="ru-RU"/>
        </w:rPr>
        <w:t xml:space="preserve">Запланированные в сумме 125,0 тыс. рублей безвозмездные поступления от негосударственных организаций исполнены в сумме 110,0 тыс. рублей, или на 88,0 %.      </w:t>
      </w:r>
    </w:p>
    <w:p w:rsidR="00E20670" w:rsidRDefault="00E20670" w:rsidP="000D4940">
      <w:pPr>
        <w:tabs>
          <w:tab w:val="left" w:pos="567"/>
          <w:tab w:val="left" w:pos="90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D604CA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50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9050E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 на соответствие сведений об исполнении бюджета по доходам расхождений не установлено.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15B7" w:rsidRPr="00C777A3" w:rsidRDefault="00E20670" w:rsidP="00AD374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A3"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276B98">
        <w:rPr>
          <w:rFonts w:ascii="Times New Roman" w:hAnsi="Times New Roman"/>
          <w:sz w:val="28"/>
          <w:szCs w:val="28"/>
          <w:lang w:eastAsia="ru-RU"/>
        </w:rPr>
        <w:t>32938,2</w:t>
      </w:r>
      <w:r w:rsidR="005215B7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7A3">
        <w:rPr>
          <w:rFonts w:ascii="Times New Roman" w:hAnsi="Times New Roman"/>
          <w:sz w:val="28"/>
          <w:szCs w:val="28"/>
          <w:lang w:eastAsia="ru-RU"/>
        </w:rPr>
        <w:t>тыс. рублей, в том числе: налоговые доходы</w:t>
      </w:r>
      <w:r w:rsidR="00533E2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B98">
        <w:rPr>
          <w:rFonts w:ascii="Times New Roman" w:hAnsi="Times New Roman"/>
          <w:sz w:val="28"/>
          <w:szCs w:val="28"/>
          <w:lang w:eastAsia="ru-RU"/>
        </w:rPr>
        <w:t xml:space="preserve">11,1 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– </w:t>
      </w:r>
      <w:r w:rsidR="00276B98">
        <w:rPr>
          <w:rFonts w:ascii="Times New Roman" w:hAnsi="Times New Roman"/>
          <w:sz w:val="28"/>
          <w:szCs w:val="28"/>
          <w:lang w:eastAsia="ru-RU"/>
        </w:rPr>
        <w:t>116,2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C777A3"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</w:t>
      </w:r>
      <w:r w:rsidR="00533E2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B98">
        <w:rPr>
          <w:rFonts w:ascii="Times New Roman" w:hAnsi="Times New Roman"/>
          <w:sz w:val="28"/>
          <w:szCs w:val="28"/>
          <w:lang w:eastAsia="ru-RU"/>
        </w:rPr>
        <w:t>32053,9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рублей, доходы от операций с активами</w:t>
      </w:r>
      <w:r w:rsidR="00DF3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628" w:rsidRPr="00474651">
        <w:rPr>
          <w:rFonts w:ascii="Times New Roman" w:hAnsi="Times New Roman"/>
          <w:sz w:val="28"/>
          <w:szCs w:val="28"/>
          <w:lang w:eastAsia="ru-RU"/>
        </w:rPr>
        <w:t>(</w:t>
      </w:r>
      <w:r w:rsidR="00DF3628">
        <w:rPr>
          <w:rFonts w:ascii="Times New Roman" w:hAnsi="Times New Roman"/>
          <w:sz w:val="28"/>
          <w:szCs w:val="28"/>
          <w:lang w:eastAsia="ru-RU"/>
        </w:rPr>
        <w:t>списана нереальная к взысканию дебиторская задолженность)</w:t>
      </w:r>
      <w:r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6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777A3">
        <w:rPr>
          <w:rFonts w:ascii="Times New Roman" w:hAnsi="Times New Roman"/>
          <w:sz w:val="28"/>
          <w:szCs w:val="28"/>
          <w:lang w:eastAsia="ru-RU"/>
        </w:rPr>
        <w:t>(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>-</w:t>
      </w:r>
      <w:r w:rsidR="00113AEB">
        <w:rPr>
          <w:rFonts w:ascii="Times New Roman" w:hAnsi="Times New Roman"/>
          <w:sz w:val="28"/>
          <w:szCs w:val="28"/>
          <w:lang w:eastAsia="ru-RU"/>
        </w:rPr>
        <w:t>2,1</w:t>
      </w:r>
      <w:r w:rsidR="00F43C1F" w:rsidRPr="00C777A3">
        <w:rPr>
          <w:rFonts w:ascii="Times New Roman" w:hAnsi="Times New Roman"/>
          <w:sz w:val="28"/>
          <w:szCs w:val="28"/>
          <w:lang w:eastAsia="ru-RU"/>
        </w:rPr>
        <w:t xml:space="preserve"> тыс. рублей), </w:t>
      </w:r>
      <w:r w:rsidR="00AD374B" w:rsidRPr="00C777A3">
        <w:rPr>
          <w:rFonts w:ascii="Times New Roman" w:hAnsi="Times New Roman"/>
          <w:sz w:val="28"/>
          <w:szCs w:val="28"/>
          <w:lang w:eastAsia="ru-RU"/>
        </w:rPr>
        <w:t>безвозмездные неденежные поступления в сектор государственного управления</w:t>
      </w:r>
      <w:r w:rsidR="00DF3628">
        <w:rPr>
          <w:rFonts w:ascii="Times New Roman" w:hAnsi="Times New Roman"/>
          <w:sz w:val="28"/>
          <w:szCs w:val="28"/>
          <w:lang w:eastAsia="ru-RU"/>
        </w:rPr>
        <w:t xml:space="preserve"> (поставлены на учет земельные участки после регистрации права собственности) - </w:t>
      </w:r>
      <w:r w:rsidR="00AD374B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AEB">
        <w:rPr>
          <w:rFonts w:ascii="Times New Roman" w:hAnsi="Times New Roman"/>
          <w:sz w:val="28"/>
          <w:szCs w:val="28"/>
          <w:lang w:eastAsia="ru-RU"/>
        </w:rPr>
        <w:t xml:space="preserve">759,1 </w:t>
      </w:r>
      <w:r w:rsidR="00AD374B" w:rsidRPr="00C777A3">
        <w:rPr>
          <w:rFonts w:ascii="Times New Roman" w:hAnsi="Times New Roman"/>
          <w:sz w:val="28"/>
          <w:szCs w:val="28"/>
          <w:lang w:eastAsia="ru-RU"/>
        </w:rPr>
        <w:t xml:space="preserve">тыс. рублей.  </w:t>
      </w:r>
    </w:p>
    <w:p w:rsidR="00E20670" w:rsidRDefault="00E20670" w:rsidP="00AD374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7A3">
        <w:rPr>
          <w:rFonts w:ascii="Times New Roman" w:hAnsi="Times New Roman"/>
          <w:sz w:val="28"/>
          <w:szCs w:val="28"/>
          <w:lang w:eastAsia="ru-RU"/>
        </w:rPr>
        <w:t>Начисленные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B1869" w:rsidRPr="007353D6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0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</w:t>
      </w:r>
      <w:r w:rsidR="00D6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объеме</w:t>
      </w:r>
      <w:r w:rsidR="00681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7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59058,6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68150D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и структура расходов главного распорядителя по разделам классификации расходов бюджета за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8150D" w:rsidRDefault="0068150D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093"/>
        <w:gridCol w:w="1701"/>
        <w:gridCol w:w="1276"/>
        <w:gridCol w:w="1418"/>
      </w:tblGrid>
      <w:tr w:rsidR="0068150D" w:rsidRPr="0068150D" w:rsidTr="0068150D">
        <w:trPr>
          <w:trHeight w:val="87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 раздела, подраздела классификации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8F7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решением от 1</w:t>
            </w:r>
            <w:r w:rsidR="008F76C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.12.</w:t>
            </w:r>
            <w:r w:rsidR="00D604CA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№ 2</w:t>
            </w:r>
            <w:r w:rsidR="008F76CB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Исполнено за </w:t>
            </w:r>
            <w:r w:rsidR="00D604C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 исполнения к решению, % </w:t>
            </w:r>
          </w:p>
        </w:tc>
      </w:tr>
      <w:tr w:rsidR="0068150D" w:rsidRPr="0068150D" w:rsidTr="0068150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8150D" w:rsidRPr="0068150D" w:rsidTr="008F76C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68150D" w:rsidRPr="0068150D" w:rsidTr="008F76C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68150D" w:rsidRPr="0068150D" w:rsidTr="008F76CB">
        <w:trPr>
          <w:trHeight w:val="34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8F76CB" w:rsidRPr="0068150D" w:rsidTr="0068150D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6CB" w:rsidRPr="0068150D" w:rsidRDefault="008F76CB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6CB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6CB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76CB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68150D" w:rsidRPr="0068150D" w:rsidTr="008F76CB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68150D" w:rsidRPr="0068150D" w:rsidTr="008F76CB">
        <w:trPr>
          <w:trHeight w:val="2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68150D" w:rsidRPr="0068150D" w:rsidTr="008F76CB">
        <w:trPr>
          <w:trHeight w:val="15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48,7</w:t>
            </w:r>
          </w:p>
        </w:tc>
      </w:tr>
      <w:tr w:rsidR="0068150D" w:rsidRPr="0068150D" w:rsidTr="008F76C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68150D" w:rsidRPr="0068150D" w:rsidTr="008F76CB">
        <w:trPr>
          <w:trHeight w:val="151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68150D" w:rsidRPr="0068150D" w:rsidTr="008F76CB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0D" w:rsidRPr="0068150D" w:rsidRDefault="0068150D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815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59058,6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34386,0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50D" w:rsidRPr="0068150D" w:rsidRDefault="006D187A" w:rsidP="0068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58,2</w:t>
            </w:r>
          </w:p>
        </w:tc>
      </w:tr>
    </w:tbl>
    <w:p w:rsidR="0068150D" w:rsidRDefault="0068150D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809" w:rsidRDefault="0068150D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Отчета ф. 0503127 у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6D187A">
        <w:rPr>
          <w:rFonts w:ascii="Times New Roman" w:hAnsi="Times New Roman"/>
          <w:sz w:val="28"/>
          <w:szCs w:val="28"/>
          <w:lang w:eastAsia="ru-RU"/>
        </w:rPr>
        <w:t xml:space="preserve">34386,0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E7809">
        <w:rPr>
          <w:rFonts w:ascii="Times New Roman" w:hAnsi="Times New Roman"/>
          <w:sz w:val="28"/>
          <w:szCs w:val="28"/>
          <w:lang w:eastAsia="ru-RU"/>
        </w:rPr>
        <w:t>,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6D187A">
        <w:rPr>
          <w:rFonts w:ascii="Times New Roman" w:hAnsi="Times New Roman"/>
          <w:sz w:val="28"/>
          <w:szCs w:val="28"/>
          <w:lang w:eastAsia="ru-RU"/>
        </w:rPr>
        <w:t>58,2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E7809"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«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6D187A">
        <w:rPr>
          <w:rFonts w:ascii="Times New Roman" w:hAnsi="Times New Roman"/>
          <w:sz w:val="28"/>
          <w:szCs w:val="28"/>
          <w:lang w:eastAsia="ru-RU"/>
        </w:rPr>
        <w:t xml:space="preserve">24672,6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тыс. рублей по отношению к кассовым расходам составляет </w:t>
      </w:r>
      <w:r w:rsidR="006D187A">
        <w:rPr>
          <w:rFonts w:ascii="Times New Roman" w:hAnsi="Times New Roman"/>
          <w:sz w:val="28"/>
          <w:szCs w:val="28"/>
          <w:lang w:eastAsia="ru-RU"/>
        </w:rPr>
        <w:t xml:space="preserve">71,8 </w:t>
      </w:r>
      <w:r w:rsidR="005E7809">
        <w:rPr>
          <w:rFonts w:ascii="Times New Roman" w:hAnsi="Times New Roman"/>
          <w:sz w:val="28"/>
          <w:szCs w:val="28"/>
          <w:lang w:eastAsia="ru-RU"/>
        </w:rPr>
        <w:t>% (графа 11 «Неисполненные назначения по лимитам бюджетных обязательств»</w:t>
      </w:r>
      <w:r w:rsidR="005E7809"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="005E7809"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809" w:rsidRPr="00C777A3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="005E7809" w:rsidRPr="00C777A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E7809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 причинами отклонений от планового показателя послужило</w:t>
      </w:r>
      <w:r w:rsidR="00B94252" w:rsidRPr="00C777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5E7809" w:rsidRPr="00C777A3"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777A3" w:rsidRPr="00C777A3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 (по контрактуемым расходам).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04CC3">
        <w:rPr>
          <w:rFonts w:ascii="Times New Roman" w:hAnsi="Times New Roman"/>
          <w:color w:val="000000"/>
          <w:sz w:val="28"/>
          <w:szCs w:val="28"/>
          <w:lang w:eastAsia="ru-RU"/>
        </w:rPr>
        <w:t>В ф. 0503164 «</w:t>
      </w:r>
      <w:r w:rsidRPr="00704CC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704CC3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бюджета», графа 4 «Утвержденные бюджетные назначения») соответствуют бюджетным назначениям, утвержденным решением о бюджете поселения на 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Pr="00D11A93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</w:t>
      </w:r>
      <w:r w:rsidR="00093BE1" w:rsidRPr="00093BE1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093BE1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Образование»</w:t>
      </w:r>
      <w:r w:rsidR="00D11A93">
        <w:rPr>
          <w:rFonts w:ascii="Times New Roman" w:hAnsi="Times New Roman"/>
          <w:sz w:val="28"/>
          <w:szCs w:val="28"/>
          <w:lang w:eastAsia="ru-RU"/>
        </w:rPr>
        <w:t>, «Социальная политика», «Физическая культура и спорт»</w:t>
      </w:r>
      <w:r w:rsidR="00BA25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D11A93">
        <w:rPr>
          <w:rFonts w:ascii="Times New Roman" w:hAnsi="Times New Roman"/>
          <w:bCs/>
          <w:sz w:val="28"/>
          <w:szCs w:val="28"/>
          <w:lang w:eastAsia="ru-RU"/>
        </w:rPr>
        <w:t>48,7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D11A9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D11A93" w:rsidRPr="00D11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Культура, кинематография</w:t>
      </w:r>
      <w:r w:rsidRPr="00D11A93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BA25F5" w:rsidRDefault="005E7809" w:rsidP="00BA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95511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 занимают расходы по раздел</w:t>
      </w:r>
      <w:r w:rsidR="00D11A93">
        <w:rPr>
          <w:rFonts w:ascii="Times New Roman" w:hAnsi="Times New Roman"/>
          <w:sz w:val="28"/>
          <w:szCs w:val="28"/>
          <w:lang w:eastAsia="ru-RU"/>
        </w:rPr>
        <w:t>у</w:t>
      </w:r>
      <w:r w:rsidRPr="00195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CC3" w:rsidRPr="00195511">
        <w:rPr>
          <w:rFonts w:ascii="Times New Roman" w:hAnsi="Times New Roman"/>
          <w:sz w:val="28"/>
          <w:szCs w:val="28"/>
          <w:lang w:eastAsia="ru-RU"/>
        </w:rPr>
        <w:t xml:space="preserve">«Культура, кинематография» - </w:t>
      </w:r>
      <w:r w:rsidR="00D11A93">
        <w:rPr>
          <w:rFonts w:ascii="Times New Roman" w:hAnsi="Times New Roman"/>
          <w:sz w:val="28"/>
          <w:szCs w:val="28"/>
          <w:lang w:eastAsia="ru-RU"/>
        </w:rPr>
        <w:t>67,8</w:t>
      </w:r>
      <w:r w:rsidR="00704CC3" w:rsidRPr="00195511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</w:t>
      </w:r>
    </w:p>
    <w:p w:rsidR="00093BE1" w:rsidRDefault="00093BE1" w:rsidP="005A14AA">
      <w:pPr>
        <w:tabs>
          <w:tab w:val="left" w:pos="0"/>
          <w:tab w:val="left" w:pos="567"/>
        </w:tabs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993"/>
        <w:gridCol w:w="1134"/>
      </w:tblGrid>
      <w:tr w:rsidR="00093BE1" w:rsidRPr="00093BE1" w:rsidTr="00093BE1">
        <w:trPr>
          <w:trHeight w:val="719"/>
        </w:trPr>
        <w:tc>
          <w:tcPr>
            <w:tcW w:w="2830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134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D604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134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D604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993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hideMark/>
          </w:tcPr>
          <w:p w:rsidR="00093BE1" w:rsidRPr="00093BE1" w:rsidRDefault="00093BE1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D604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 к исполнению в </w:t>
            </w:r>
            <w:r w:rsidR="00D604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</w:tc>
      </w:tr>
      <w:tr w:rsidR="00D11A93" w:rsidRPr="00093BE1" w:rsidTr="00D11A93">
        <w:trPr>
          <w:trHeight w:val="311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2147,3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2197,9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50,6</w:t>
            </w:r>
          </w:p>
        </w:tc>
      </w:tr>
      <w:tr w:rsidR="00D11A93" w:rsidRPr="00093BE1" w:rsidTr="00D11A93">
        <w:trPr>
          <w:trHeight w:val="303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3007,2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3581,3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574,1</w:t>
            </w:r>
          </w:p>
        </w:tc>
      </w:tr>
      <w:tr w:rsidR="00D11A93" w:rsidRPr="00093BE1" w:rsidTr="00D11A93">
        <w:trPr>
          <w:trHeight w:val="310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7338,6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27114,5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19775,9</w:t>
            </w:r>
          </w:p>
        </w:tc>
      </w:tr>
      <w:tr w:rsidR="00D11A93" w:rsidRPr="00093BE1" w:rsidTr="00D11A93">
        <w:trPr>
          <w:trHeight w:val="131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-115,6</w:t>
            </w:r>
          </w:p>
        </w:tc>
      </w:tr>
      <w:tr w:rsidR="00D11A93" w:rsidRPr="00093BE1" w:rsidTr="00D11A93">
        <w:trPr>
          <w:trHeight w:val="273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11A93" w:rsidRPr="00093BE1" w:rsidTr="00D11A93">
        <w:trPr>
          <w:trHeight w:val="131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-32,2</w:t>
            </w:r>
          </w:p>
        </w:tc>
      </w:tr>
      <w:tr w:rsidR="00D11A93" w:rsidRPr="00093BE1" w:rsidTr="00D11A93">
        <w:trPr>
          <w:trHeight w:val="137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-9,6</w:t>
            </w:r>
          </w:p>
        </w:tc>
      </w:tr>
      <w:tr w:rsidR="00D11A93" w:rsidRPr="00093BE1" w:rsidTr="00D11A93">
        <w:trPr>
          <w:trHeight w:val="197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</w:tr>
      <w:tr w:rsidR="00D11A93" w:rsidRPr="00093BE1" w:rsidTr="00093BE1">
        <w:trPr>
          <w:trHeight w:val="315"/>
        </w:trPr>
        <w:tc>
          <w:tcPr>
            <w:tcW w:w="2830" w:type="dxa"/>
          </w:tcPr>
          <w:p w:rsidR="00D11A93" w:rsidRPr="00D11A93" w:rsidRDefault="00D11A93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11A9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34" w:type="dxa"/>
          </w:tcPr>
          <w:p w:rsidR="00D11A93" w:rsidRPr="00D11A93" w:rsidRDefault="00D11A93" w:rsidP="00093BE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11A9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</w:tcPr>
          <w:p w:rsidR="00D11A93" w:rsidRPr="00D11A93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D11A93" w:rsidRPr="00D11A93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11A9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610,7</w:t>
            </w:r>
          </w:p>
        </w:tc>
        <w:tc>
          <w:tcPr>
            <w:tcW w:w="993" w:type="dxa"/>
          </w:tcPr>
          <w:p w:rsidR="00D11A93" w:rsidRPr="00D11A93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34" w:type="dxa"/>
          </w:tcPr>
          <w:p w:rsidR="00D11A93" w:rsidRPr="00D11A93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610,7</w:t>
            </w:r>
          </w:p>
        </w:tc>
      </w:tr>
      <w:tr w:rsidR="00D11A93" w:rsidRPr="00093BE1" w:rsidTr="00D11A93">
        <w:trPr>
          <w:trHeight w:val="315"/>
        </w:trPr>
        <w:tc>
          <w:tcPr>
            <w:tcW w:w="2830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D11A93" w:rsidRPr="00093BE1" w:rsidRDefault="00D11A93" w:rsidP="00D11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13530,3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93B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34386,0</w:t>
            </w:r>
          </w:p>
        </w:tc>
        <w:tc>
          <w:tcPr>
            <w:tcW w:w="993" w:type="dxa"/>
          </w:tcPr>
          <w:p w:rsidR="00D11A93" w:rsidRPr="00093BE1" w:rsidRDefault="00D11A93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11A93" w:rsidRPr="00093BE1" w:rsidRDefault="00BB6E85" w:rsidP="00BB6E8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20855,7</w:t>
            </w:r>
          </w:p>
        </w:tc>
      </w:tr>
    </w:tbl>
    <w:p w:rsidR="000B6BF1" w:rsidRDefault="00BA25F5" w:rsidP="006F4F2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В стр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уктур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поселения в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</w:t>
      </w:r>
      <w:r w:rsidR="00EF534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</w:t>
      </w:r>
      <w:bookmarkStart w:id="0" w:name="_GoBack"/>
      <w:bookmarkEnd w:id="0"/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произошли изменения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расходы по КВР 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 xml:space="preserve">830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6E85" w:rsidRPr="00BB6E85">
        <w:rPr>
          <w:rFonts w:ascii="Times New Roman" w:eastAsia="Times New Roman" w:hAnsi="Times New Roman"/>
          <w:sz w:val="28"/>
          <w:szCs w:val="28"/>
          <w:lang w:eastAsia="ru-RU"/>
        </w:rPr>
        <w:t>Исполнение судебных актов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увеличилась доля расходов на закупки (+ 24,7 процентных пункта), структуру дополнили «Специальные расходы», составившие 1,8 % в общем объеме расходов.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>78,9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 xml:space="preserve"> - 54,2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>на втором месте расходы на выплаты персоналу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511" w:rsidRPr="005A14AA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органов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>10,4</w:t>
      </w:r>
      <w:r w:rsidR="000B6BF1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0B6BF1" w:rsidRDefault="000B6BF1" w:rsidP="006F4F2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абсолютном выражении увеличились</w:t>
      </w:r>
      <w:r w:rsidR="00195511" w:rsidRPr="001955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B6E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закупки на 19775,9 тыс. рублей, расходы на выплаты персоналу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органов на 574,1 тыс. рублей, р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выплаты персоналу казенных учреждений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95511">
        <w:rPr>
          <w:rFonts w:ascii="Times New Roman" w:eastAsia="Times New Roman" w:hAnsi="Times New Roman"/>
          <w:sz w:val="28"/>
          <w:szCs w:val="28"/>
          <w:lang w:eastAsia="ru-RU"/>
        </w:rPr>
        <w:t>34,5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A08CD" w:rsidRPr="00670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7F6E">
        <w:rPr>
          <w:rFonts w:ascii="Times New Roman" w:hAnsi="Times New Roman"/>
          <w:sz w:val="28"/>
          <w:szCs w:val="28"/>
          <w:lang w:eastAsia="ru-RU"/>
        </w:rPr>
        <w:t>Максимальное снижение расходов в абсолютном выражении отмечено для расходов «</w:t>
      </w:r>
      <w:r w:rsidR="000B7F6E" w:rsidRPr="004C2340">
        <w:rPr>
          <w:rFonts w:ascii="Times New Roman" w:hAnsi="Times New Roman"/>
          <w:sz w:val="28"/>
          <w:szCs w:val="28"/>
          <w:lang w:eastAsia="ru-RU"/>
        </w:rPr>
        <w:t>Публичные нормативные социальные выплаты гражданам</w:t>
      </w:r>
      <w:r w:rsidR="000B7F6E">
        <w:rPr>
          <w:rFonts w:ascii="Times New Roman" w:hAnsi="Times New Roman"/>
          <w:sz w:val="28"/>
          <w:szCs w:val="28"/>
          <w:lang w:eastAsia="ru-RU"/>
        </w:rPr>
        <w:t xml:space="preserve">» (код 310) - на 115,6 </w:t>
      </w:r>
      <w:r w:rsidR="00ED3FED">
        <w:rPr>
          <w:rFonts w:ascii="Times New Roman" w:hAnsi="Times New Roman"/>
          <w:sz w:val="28"/>
          <w:szCs w:val="28"/>
          <w:lang w:eastAsia="ru-RU"/>
        </w:rPr>
        <w:t>т</w:t>
      </w:r>
      <w:r w:rsidR="000B7F6E">
        <w:rPr>
          <w:rFonts w:ascii="Times New Roman" w:hAnsi="Times New Roman"/>
          <w:sz w:val="28"/>
          <w:szCs w:val="28"/>
          <w:lang w:eastAsia="ru-RU"/>
        </w:rPr>
        <w:t>ыс. рублей.</w:t>
      </w:r>
    </w:p>
    <w:p w:rsidR="000B7F6E" w:rsidRDefault="000B6BF1" w:rsidP="006F4F2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A08CD" w:rsidRPr="00670708">
        <w:rPr>
          <w:rFonts w:ascii="Times New Roman" w:eastAsia="Times New Roman" w:hAnsi="Times New Roman"/>
          <w:sz w:val="28"/>
          <w:szCs w:val="28"/>
          <w:lang w:eastAsia="ru-RU"/>
        </w:rPr>
        <w:t>Детальный анализ расходов на закупки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показал: больше всего расходов произведено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закупки работ, услуг по </w:t>
      </w:r>
      <w:r>
        <w:rPr>
          <w:rFonts w:ascii="Times New Roman" w:hAnsi="Times New Roman"/>
          <w:sz w:val="28"/>
          <w:szCs w:val="28"/>
          <w:lang w:eastAsia="ru-RU"/>
        </w:rPr>
        <w:t>содержанию имущества (КОСГУ 225) – 21422,2 тыс. рублей (</w:t>
      </w:r>
      <w:r w:rsidR="000B7F6E">
        <w:rPr>
          <w:rFonts w:ascii="Times New Roman" w:hAnsi="Times New Roman"/>
          <w:sz w:val="28"/>
          <w:szCs w:val="28"/>
          <w:lang w:eastAsia="ru-RU"/>
        </w:rPr>
        <w:t>79,0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</w:t>
      </w:r>
      <w:r w:rsidR="000B7F6E">
        <w:rPr>
          <w:rFonts w:ascii="Times New Roman" w:hAnsi="Times New Roman"/>
          <w:sz w:val="28"/>
          <w:szCs w:val="28"/>
          <w:lang w:eastAsia="ru-RU"/>
        </w:rPr>
        <w:t xml:space="preserve">, на втором месте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F6E">
        <w:rPr>
          <w:rFonts w:ascii="Times New Roman" w:hAnsi="Times New Roman"/>
          <w:sz w:val="28"/>
          <w:szCs w:val="28"/>
          <w:lang w:eastAsia="ru-RU"/>
        </w:rPr>
        <w:t xml:space="preserve">прочих работ, услуг (КОСГУ 226) – 1915,1 тыс. рублей (7,1 %), на третьем месте закупки </w:t>
      </w:r>
      <w:r w:rsidR="002B60AF">
        <w:rPr>
          <w:rFonts w:ascii="Times New Roman" w:hAnsi="Times New Roman"/>
          <w:sz w:val="28"/>
          <w:szCs w:val="28"/>
          <w:lang w:eastAsia="ru-RU"/>
        </w:rPr>
        <w:t>коммунальных услуг</w:t>
      </w:r>
      <w:r w:rsidR="000B7F6E">
        <w:rPr>
          <w:rFonts w:ascii="Times New Roman" w:hAnsi="Times New Roman"/>
          <w:sz w:val="28"/>
          <w:szCs w:val="28"/>
          <w:lang w:eastAsia="ru-RU"/>
        </w:rPr>
        <w:t xml:space="preserve"> (КОСГУ 223)</w:t>
      </w:r>
      <w:r w:rsidR="002B60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B7F6E">
        <w:rPr>
          <w:rFonts w:ascii="Times New Roman" w:hAnsi="Times New Roman"/>
          <w:sz w:val="28"/>
          <w:szCs w:val="28"/>
          <w:lang w:eastAsia="ru-RU"/>
        </w:rPr>
        <w:t xml:space="preserve">1813,2 </w:t>
      </w:r>
      <w:r w:rsidR="002B60AF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0B7F6E">
        <w:rPr>
          <w:rFonts w:ascii="Times New Roman" w:hAnsi="Times New Roman"/>
          <w:sz w:val="28"/>
          <w:szCs w:val="28"/>
          <w:lang w:eastAsia="ru-RU"/>
        </w:rPr>
        <w:t>6</w:t>
      </w:r>
      <w:r w:rsidR="002B60AF">
        <w:rPr>
          <w:rFonts w:ascii="Times New Roman" w:hAnsi="Times New Roman"/>
          <w:sz w:val="28"/>
          <w:szCs w:val="28"/>
          <w:lang w:eastAsia="ru-RU"/>
        </w:rPr>
        <w:t>,7 % от общего объема про</w:t>
      </w:r>
      <w:r w:rsidR="000B7F6E">
        <w:rPr>
          <w:rFonts w:ascii="Times New Roman" w:hAnsi="Times New Roman"/>
          <w:sz w:val="28"/>
          <w:szCs w:val="28"/>
          <w:lang w:eastAsia="ru-RU"/>
        </w:rPr>
        <w:t>изведенных расходов на закупки).</w:t>
      </w:r>
    </w:p>
    <w:p w:rsidR="00733CB2" w:rsidRDefault="006F4F21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>По данным формы 0503128 «Отчет о бюджетных обязательствах» объем принятых Администрацией поселения бюджетных обязательств составил</w:t>
      </w:r>
      <w:r w:rsidR="001B4731">
        <w:rPr>
          <w:rFonts w:ascii="Times New Roman" w:eastAsia="Times New Roman" w:hAnsi="Times New Roman"/>
          <w:sz w:val="28"/>
          <w:szCs w:val="28"/>
          <w:lang w:eastAsia="ru-RU"/>
        </w:rPr>
        <w:t xml:space="preserve"> 57423,9 ты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>с. рублей (графа 7</w:t>
      </w:r>
      <w:r w:rsidR="00733CB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строка 200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>),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731">
        <w:rPr>
          <w:rFonts w:ascii="Times New Roman" w:eastAsia="Times New Roman" w:hAnsi="Times New Roman"/>
          <w:sz w:val="28"/>
          <w:szCs w:val="28"/>
          <w:lang w:eastAsia="ru-RU"/>
        </w:rPr>
        <w:t>97,2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1B4731">
        <w:rPr>
          <w:rFonts w:ascii="Times New Roman" w:eastAsia="Times New Roman" w:hAnsi="Times New Roman"/>
          <w:sz w:val="28"/>
          <w:szCs w:val="28"/>
          <w:lang w:eastAsia="ru-RU"/>
        </w:rPr>
        <w:t>1634,7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33CB2">
        <w:rPr>
          <w:rFonts w:ascii="Times New Roman" w:eastAsia="Times New Roman" w:hAnsi="Times New Roman"/>
          <w:sz w:val="28"/>
          <w:szCs w:val="28"/>
          <w:lang w:eastAsia="ru-RU"/>
        </w:rPr>
        <w:t>Объем принятых денежных обязательств (графа 9 строка 200) составил 34448,6 тыс. рублей, или 60,0 % от объема принятых бюджетных обязательств.</w:t>
      </w:r>
    </w:p>
    <w:p w:rsidR="00733CB2" w:rsidRDefault="00733CB2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Исполнено денежных обязательств на сумму 34386,0 тыс. рублей, или на 99,8 % от объема принятых денежных обязательств.         </w:t>
      </w:r>
    </w:p>
    <w:p w:rsidR="00BA65D0" w:rsidRP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733CB2">
        <w:rPr>
          <w:rFonts w:ascii="Times New Roman" w:eastAsia="Times New Roman" w:hAnsi="Times New Roman"/>
          <w:sz w:val="28"/>
          <w:szCs w:val="28"/>
          <w:lang w:eastAsia="ru-RU"/>
        </w:rPr>
        <w:t>23037,9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733CB2">
        <w:rPr>
          <w:rFonts w:ascii="Times New Roman" w:eastAsia="Times New Roman" w:hAnsi="Times New Roman"/>
          <w:sz w:val="28"/>
          <w:szCs w:val="28"/>
          <w:lang w:eastAsia="ru-RU"/>
        </w:rPr>
        <w:t>62,6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17210" w:rsidRPr="006724A9" w:rsidRDefault="00BA65D0" w:rsidP="0031721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210"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="00317210"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317210"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6330D5" w:rsidRDefault="00E22356" w:rsidP="00ED3F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="00A41770" w:rsidRPr="00A41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770">
        <w:rPr>
          <w:rFonts w:ascii="Times New Roman" w:hAnsi="Times New Roman"/>
          <w:sz w:val="28"/>
          <w:szCs w:val="28"/>
          <w:lang w:eastAsia="ru-RU"/>
        </w:rPr>
        <w:t xml:space="preserve">что подтверждается отсутствием числовых значений в разделе 3 ф. 0503175.    </w:t>
      </w: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06BEA" w:rsidRDefault="00062EE7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31.12.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491E26" w:rsidRPr="00506BEA" w:rsidRDefault="00D76F01" w:rsidP="00ED3FE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1B4731">
        <w:rPr>
          <w:rFonts w:ascii="Times New Roman" w:hAnsi="Times New Roman"/>
          <w:sz w:val="28"/>
          <w:szCs w:val="28"/>
          <w:lang w:eastAsia="ru-RU"/>
        </w:rPr>
        <w:t>408,0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 w:rsidRPr="003C3868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увеличился по сравнению с итогами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5A1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731">
        <w:rPr>
          <w:rFonts w:ascii="Times New Roman" w:eastAsia="Times New Roman" w:hAnsi="Times New Roman"/>
          <w:sz w:val="28"/>
          <w:szCs w:val="28"/>
          <w:lang w:eastAsia="ru-RU"/>
        </w:rPr>
        <w:t>20855,7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1B4731">
        <w:rPr>
          <w:rFonts w:ascii="Times New Roman" w:eastAsia="Times New Roman" w:hAnsi="Times New Roman"/>
          <w:sz w:val="28"/>
          <w:szCs w:val="28"/>
          <w:lang w:eastAsia="ru-RU"/>
        </w:rPr>
        <w:t>154,1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5D0" w:rsidRDefault="00D76F01" w:rsidP="00ED3FED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DA57D8" w:rsidRDefault="00491E26" w:rsidP="00ED3FE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66329">
        <w:rPr>
          <w:rFonts w:ascii="Times New Roman" w:hAnsi="Times New Roman"/>
          <w:sz w:val="28"/>
          <w:szCs w:val="28"/>
          <w:lang w:eastAsia="ru-RU"/>
        </w:rPr>
        <w:t>1</w:t>
      </w:r>
      <w:r w:rsidR="00F60023">
        <w:rPr>
          <w:rFonts w:ascii="Times New Roman" w:hAnsi="Times New Roman"/>
          <w:sz w:val="28"/>
          <w:szCs w:val="28"/>
          <w:lang w:eastAsia="ru-RU"/>
        </w:rPr>
        <w:t>6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6329">
        <w:rPr>
          <w:rFonts w:ascii="Times New Roman" w:hAnsi="Times New Roman"/>
          <w:sz w:val="28"/>
          <w:szCs w:val="28"/>
          <w:lang w:eastAsia="ru-RU"/>
        </w:rPr>
        <w:t>2</w:t>
      </w:r>
      <w:r w:rsidR="00F60023">
        <w:rPr>
          <w:rFonts w:ascii="Times New Roman" w:hAnsi="Times New Roman"/>
          <w:sz w:val="28"/>
          <w:szCs w:val="28"/>
          <w:lang w:eastAsia="ru-RU"/>
        </w:rPr>
        <w:t>63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604CA">
        <w:rPr>
          <w:rFonts w:ascii="Times New Roman" w:hAnsi="Times New Roman"/>
          <w:sz w:val="28"/>
          <w:szCs w:val="28"/>
          <w:lang w:eastAsia="ru-RU"/>
        </w:rPr>
        <w:t>2024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годов»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C551C1">
        <w:rPr>
          <w:rFonts w:ascii="Times New Roman" w:hAnsi="Times New Roman"/>
          <w:sz w:val="28"/>
          <w:szCs w:val="28"/>
          <w:lang w:eastAsia="ru-RU"/>
        </w:rPr>
        <w:t>51781,9</w:t>
      </w:r>
      <w:r w:rsidR="00F079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тыс. рублей. В общем объеме контрактуемых расходов </w:t>
      </w:r>
      <w:r w:rsidR="00F0798C">
        <w:rPr>
          <w:rFonts w:ascii="Times New Roman" w:hAnsi="Times New Roman"/>
          <w:sz w:val="28"/>
          <w:szCs w:val="28"/>
          <w:lang w:eastAsia="ru-RU"/>
        </w:rPr>
        <w:t>100,0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</w:t>
      </w:r>
      <w:r w:rsidR="00F0798C">
        <w:rPr>
          <w:rFonts w:ascii="Times New Roman" w:hAnsi="Times New Roman"/>
          <w:sz w:val="28"/>
          <w:szCs w:val="28"/>
          <w:lang w:eastAsia="ru-RU"/>
        </w:rPr>
        <w:t>варов, работ и услуг (КВР 240).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6"/>
        <w:gridCol w:w="882"/>
        <w:gridCol w:w="944"/>
        <w:gridCol w:w="989"/>
        <w:gridCol w:w="1004"/>
      </w:tblGrid>
      <w:tr w:rsidR="00DA57D8" w:rsidRPr="00DA57D8" w:rsidTr="00DA57D8">
        <w:trPr>
          <w:trHeight w:val="480"/>
        </w:trPr>
        <w:tc>
          <w:tcPr>
            <w:tcW w:w="2547" w:type="dxa"/>
            <w:vMerge w:val="restart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 (КВР)</w:t>
            </w:r>
          </w:p>
        </w:tc>
        <w:tc>
          <w:tcPr>
            <w:tcW w:w="992" w:type="dxa"/>
            <w:vMerge w:val="restart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Итого плановые назначения</w:t>
            </w:r>
          </w:p>
        </w:tc>
        <w:tc>
          <w:tcPr>
            <w:tcW w:w="1878" w:type="dxa"/>
            <w:gridSpan w:val="2"/>
            <w:vMerge w:val="restart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Принято обязательств по закупкам</w:t>
            </w:r>
          </w:p>
        </w:tc>
        <w:tc>
          <w:tcPr>
            <w:tcW w:w="2937" w:type="dxa"/>
            <w:gridSpan w:val="3"/>
            <w:vMerge w:val="restart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DA57D8" w:rsidRPr="00DA57D8" w:rsidTr="00DA57D8">
        <w:trPr>
          <w:trHeight w:val="322"/>
        </w:trPr>
        <w:tc>
          <w:tcPr>
            <w:tcW w:w="2547" w:type="dxa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57D8" w:rsidRPr="00DA57D8" w:rsidTr="00DA57D8">
        <w:trPr>
          <w:trHeight w:val="750"/>
        </w:trPr>
        <w:tc>
          <w:tcPr>
            <w:tcW w:w="2547" w:type="dxa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6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82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89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плановых назначений</w:t>
            </w:r>
          </w:p>
        </w:tc>
        <w:tc>
          <w:tcPr>
            <w:tcW w:w="100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принятых обязательств</w:t>
            </w:r>
          </w:p>
        </w:tc>
      </w:tr>
      <w:tr w:rsidR="00DA57D8" w:rsidRPr="00DA57D8" w:rsidTr="00DA57D8">
        <w:trPr>
          <w:trHeight w:val="300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на закупки </w:t>
            </w:r>
          </w:p>
        </w:tc>
        <w:tc>
          <w:tcPr>
            <w:tcW w:w="113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51781,9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50147,3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27114,5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52,4%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54,1%</w:t>
            </w:r>
          </w:p>
        </w:tc>
      </w:tr>
      <w:tr w:rsidR="00DA57D8" w:rsidRPr="00DA57D8" w:rsidTr="00DA57D8">
        <w:trPr>
          <w:trHeight w:val="765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13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51781,9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50147,3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27114,5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52,4%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54,1%</w:t>
            </w:r>
          </w:p>
        </w:tc>
      </w:tr>
      <w:tr w:rsidR="00DA57D8" w:rsidRPr="00DA57D8" w:rsidTr="00DA57D8">
        <w:trPr>
          <w:trHeight w:val="765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202,2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198,9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198,3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DA57D8" w:rsidRPr="00DA57D8" w:rsidTr="00DA57D8">
        <w:trPr>
          <w:trHeight w:val="240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44175,1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42591,4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19631,7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44,4%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46,1%</w:t>
            </w:r>
          </w:p>
        </w:tc>
      </w:tr>
      <w:tr w:rsidR="00DA57D8" w:rsidRPr="00DA57D8" w:rsidTr="00DA57D8">
        <w:trPr>
          <w:trHeight w:val="240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5544,7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5497,1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5485,2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99,8%</w:t>
            </w:r>
          </w:p>
        </w:tc>
      </w:tr>
      <w:tr w:rsidR="00DA57D8" w:rsidRPr="00DA57D8" w:rsidTr="00DA57D8">
        <w:trPr>
          <w:trHeight w:val="300"/>
        </w:trPr>
        <w:tc>
          <w:tcPr>
            <w:tcW w:w="2547" w:type="dxa"/>
            <w:hideMark/>
          </w:tcPr>
          <w:p w:rsidR="00743206" w:rsidRPr="00DA57D8" w:rsidRDefault="00743206" w:rsidP="00743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1859,9</w:t>
            </w:r>
          </w:p>
        </w:tc>
        <w:tc>
          <w:tcPr>
            <w:tcW w:w="996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1859,9</w:t>
            </w:r>
          </w:p>
        </w:tc>
        <w:tc>
          <w:tcPr>
            <w:tcW w:w="882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4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1799,3</w:t>
            </w:r>
          </w:p>
        </w:tc>
        <w:tc>
          <w:tcPr>
            <w:tcW w:w="989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004" w:type="dxa"/>
            <w:noWrap/>
            <w:hideMark/>
          </w:tcPr>
          <w:p w:rsidR="00743206" w:rsidRPr="00DA57D8" w:rsidRDefault="00743206" w:rsidP="00DA57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96,7%</w:t>
            </w:r>
          </w:p>
        </w:tc>
      </w:tr>
    </w:tbl>
    <w:p w:rsidR="00274272" w:rsidRPr="00E854C1" w:rsidRDefault="00DA57D8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272">
        <w:rPr>
          <w:rFonts w:ascii="Times New Roman" w:hAnsi="Times New Roman"/>
          <w:sz w:val="28"/>
          <w:szCs w:val="28"/>
          <w:lang w:eastAsia="ru-RU"/>
        </w:rPr>
        <w:t xml:space="preserve">      Согласно формы </w:t>
      </w:r>
      <w:r w:rsidR="00274272"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50147,3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>96,8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>1634,6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="00274272"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>3,2 тыс. рублей – на закупки для обеспечения нужд администрации</w:t>
      </w:r>
      <w:r w:rsidR="000622AD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0,7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0622AD">
        <w:rPr>
          <w:rFonts w:ascii="Times New Roman" w:hAnsi="Times New Roman"/>
          <w:color w:val="000000"/>
          <w:sz w:val="28"/>
          <w:szCs w:val="28"/>
          <w:lang w:eastAsia="ru-RU"/>
        </w:rPr>
        <w:t>в сфере жи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лищно – коммунального хозяйства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1630,7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тыс. рублей – в сфере культуры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113D9" w:rsidRPr="00425193" w:rsidRDefault="00D635C9" w:rsidP="00782588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>27114,5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>54,1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>52,4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9E2F52">
        <w:rPr>
          <w:rFonts w:ascii="Times New Roman" w:hAnsi="Times New Roman"/>
          <w:color w:val="000000"/>
          <w:sz w:val="28"/>
          <w:szCs w:val="28"/>
          <w:lang w:eastAsia="ru-RU"/>
        </w:rPr>
        <w:t>61,9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9E2F52" w:rsidRDefault="009E2F52" w:rsidP="009E2F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онтракты и договоры заключены и оплачены в пределах доведенных лимитов бюджетных обязательств. </w:t>
      </w:r>
    </w:p>
    <w:p w:rsidR="009E2F52" w:rsidRPr="00C976E5" w:rsidRDefault="009E2F52" w:rsidP="009E2F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закупки произведены у единственного поставщика. Экономии бюджетных средств при заключении контрактов не получено, что подтверждается отсутствием числовых значений в разделе 4 ф. 0503175.    </w:t>
      </w:r>
    </w:p>
    <w:p w:rsidR="003C3868" w:rsidRDefault="003C3868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ED3FED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ED3FE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D3F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</w:t>
      </w:r>
      <w:r w:rsidR="00E612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 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BC1" w:rsidRDefault="00470BC1" w:rsidP="00ED3FE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F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417"/>
        <w:gridCol w:w="1276"/>
        <w:gridCol w:w="1134"/>
        <w:gridCol w:w="1389"/>
      </w:tblGrid>
      <w:tr w:rsidR="00A41770" w:rsidRPr="00A41770" w:rsidTr="000C6B17">
        <w:trPr>
          <w:trHeight w:val="9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расходов</w:t>
            </w:r>
          </w:p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Основное мероприятие муниципальной</w:t>
            </w:r>
          </w:p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202</w:t>
            </w:r>
            <w:r w:rsidR="00374E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70" w:rsidRPr="00A41770" w:rsidRDefault="00A41770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</w:t>
            </w:r>
            <w:r w:rsidR="00374E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год, тыс.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МП,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A41770" w:rsidRPr="00A41770" w:rsidTr="000C6B17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Комплексная программа по обеспечению мер пожарной безопасности сельского поселения Андомское на 2018 –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374E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99,8</w:t>
            </w:r>
            <w:r w:rsidR="00A41770"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A41770"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1770" w:rsidRPr="00A41770" w:rsidTr="000C6B17">
        <w:trPr>
          <w:trHeight w:val="22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A41770" w:rsidRPr="00A41770" w:rsidTr="000C6B17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03 «Национальная безопасность и правоохранительная деятельность»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ED3FED">
            <w:pPr>
              <w:tabs>
                <w:tab w:val="left" w:pos="55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A41770" w:rsidRPr="00A41770" w:rsidTr="000C6B17">
        <w:trPr>
          <w:trHeight w:val="2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01 «Общегосударственные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менее 0,1 %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374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территории, реконструкция и ремонт сетей уличного освещения муниципального образования сельское поселение Андомское на 2021 - 2023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4646,7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4594,2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13,4</w:t>
            </w:r>
          </w:p>
        </w:tc>
      </w:tr>
      <w:tr w:rsidR="00374E43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43" w:rsidRPr="00A41770" w:rsidRDefault="00374E43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04 «Национальная 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3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3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3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3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Раздел 05 «Жилищно –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Профилактика правонарушений и обеспечение общественного порядка на территории сельского поселения Андомское в 2021– 2023 годах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A41770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Раздел 07 «Образование»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менее 0,1 %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Развитие основных направлений социальной политики сельского поселения Андомское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69,3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07 «Образование»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A41770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менее 0,1 %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08 «Культура, кинематография»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23317,6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 10 «Социальная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41770" w:rsidRPr="00A41770" w:rsidTr="000C6B17">
        <w:trPr>
          <w:trHeight w:val="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Раздел 11 «Физическая культура и спорт»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A4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70" w:rsidRPr="00A41770" w:rsidRDefault="00374E43" w:rsidP="00374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41770" w:rsidRPr="00A41770" w:rsidTr="000C6B17">
        <w:trPr>
          <w:trHeight w:val="1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770" w:rsidRPr="00A41770" w:rsidRDefault="00A41770" w:rsidP="00A417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417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53110,5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374E43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28457,5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F2057E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70" w:rsidRPr="00A41770" w:rsidRDefault="00F2057E" w:rsidP="00A417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82,8</w:t>
            </w:r>
          </w:p>
        </w:tc>
      </w:tr>
    </w:tbl>
    <w:p w:rsidR="004C3949" w:rsidRDefault="00F2057E" w:rsidP="00ED3FE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53110,5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>
        <w:rPr>
          <w:rFonts w:ascii="Times New Roman" w:hAnsi="Times New Roman"/>
          <w:sz w:val="28"/>
          <w:szCs w:val="28"/>
          <w:lang w:eastAsia="ru-RU"/>
        </w:rPr>
        <w:t>53,6</w:t>
      </w:r>
      <w:r w:rsidR="004C39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>
        <w:rPr>
          <w:rFonts w:ascii="Times New Roman" w:hAnsi="Times New Roman"/>
          <w:sz w:val="28"/>
          <w:szCs w:val="28"/>
          <w:lang w:eastAsia="ru-RU"/>
        </w:rPr>
        <w:t>28457,5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D1795A" w:rsidRPr="00D1795A">
        <w:rPr>
          <w:rFonts w:ascii="Times New Roman" w:hAnsi="Times New Roman"/>
          <w:sz w:val="28"/>
          <w:szCs w:val="28"/>
          <w:lang w:eastAsia="ru-RU"/>
        </w:rPr>
        <w:t>: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на выплаты персоналу казенных учреждений (КВР 110) –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="0069589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7,9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258</w:t>
      </w:r>
      <w:r w:rsidR="00695897">
        <w:rPr>
          <w:rFonts w:ascii="Times New Roman" w:hAnsi="Times New Roman"/>
          <w:sz w:val="28"/>
          <w:szCs w:val="28"/>
          <w:lang w:eastAsia="ru-RU"/>
        </w:rPr>
        <w:t>43,5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тыс. рублей, на п</w:t>
      </w:r>
      <w:r w:rsidR="0097018F" w:rsidRPr="0097018F">
        <w:rPr>
          <w:rFonts w:ascii="Times New Roman" w:hAnsi="Times New Roman"/>
          <w:sz w:val="28"/>
          <w:szCs w:val="28"/>
          <w:lang w:eastAsia="ru-RU"/>
        </w:rPr>
        <w:t>убличные нормативные социальные выплаты гражданам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(КВР 310) –</w:t>
      </w:r>
      <w:r w:rsidR="00695897">
        <w:rPr>
          <w:rFonts w:ascii="Times New Roman" w:hAnsi="Times New Roman"/>
          <w:sz w:val="28"/>
          <w:szCs w:val="28"/>
          <w:lang w:eastAsia="ru-RU"/>
        </w:rPr>
        <w:t>392,8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на социальные выплаты гражданам (КВР 320) - 13,3 тыс. рублей, </w:t>
      </w:r>
      <w:r w:rsidR="0038509C">
        <w:rPr>
          <w:rFonts w:ascii="Times New Roman" w:hAnsi="Times New Roman"/>
          <w:sz w:val="28"/>
          <w:szCs w:val="28"/>
          <w:lang w:eastAsia="ru-RU"/>
        </w:rPr>
        <w:t>на уплату налогов, сборов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 (КВР 850)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810CF">
        <w:rPr>
          <w:rFonts w:ascii="Times New Roman" w:hAnsi="Times New Roman"/>
          <w:sz w:val="28"/>
          <w:szCs w:val="28"/>
          <w:lang w:eastAsia="ru-RU"/>
        </w:rPr>
        <w:t>10,</w:t>
      </w:r>
      <w:r w:rsidR="00695897">
        <w:rPr>
          <w:rFonts w:ascii="Times New Roman" w:hAnsi="Times New Roman"/>
          <w:sz w:val="28"/>
          <w:szCs w:val="28"/>
          <w:lang w:eastAsia="ru-RU"/>
        </w:rPr>
        <w:t>0</w:t>
      </w:r>
      <w:r w:rsidR="00981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4C3949"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695897">
        <w:rPr>
          <w:rFonts w:ascii="Times New Roman" w:hAnsi="Times New Roman"/>
          <w:bCs/>
          <w:sz w:val="28"/>
          <w:szCs w:val="28"/>
          <w:lang w:eastAsia="ru-RU"/>
        </w:rPr>
        <w:t>82,8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695897" w:rsidRPr="00695897" w:rsidRDefault="00695897" w:rsidP="004A0477">
      <w:pPr>
        <w:pStyle w:val="ae"/>
        <w:tabs>
          <w:tab w:val="clear" w:pos="9355"/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A04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 «Комплексная программа по обеспечению мер пожарной безопасности сельского поселения Андомское на 2018 – 2022 годы» реализовывалась по 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бюджета: </w:t>
      </w:r>
      <w:r w:rsidRPr="00695897">
        <w:rPr>
          <w:rFonts w:ascii="Times New Roman" w:eastAsia="Times New Roman" w:hAnsi="Times New Roman"/>
          <w:bCs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A04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рамках Основного мероприятия 2.1 «Пожарная безопасность в Администрации сельского поселения Андомское» Подпрограммы 2 «Обеспечение пожарной </w:t>
      </w:r>
      <w:r w:rsidR="004A047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безопасности в учреждениях» на сумму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7,6 тыс. рублей,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</w:t>
      </w:r>
      <w:r w:rsidRPr="006958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сновного мероприятия </w:t>
      </w:r>
      <w:r w:rsidR="004A0477" w:rsidRPr="004A0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«Общие мероприятия, направленные на успешное тушение пожаров» Подпрограммы «Обеспечение пожарной безопасности на территории поселения» на сумму 35,0 тыс. рублей.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программе составили </w:t>
      </w:r>
      <w:r w:rsidR="004A0477">
        <w:rPr>
          <w:rFonts w:ascii="Times New Roman" w:eastAsia="Times New Roman" w:hAnsi="Times New Roman"/>
          <w:sz w:val="28"/>
          <w:szCs w:val="28"/>
          <w:lang w:eastAsia="ru-RU"/>
        </w:rPr>
        <w:t>42,6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A0477">
        <w:rPr>
          <w:rFonts w:ascii="Times New Roman" w:eastAsia="Times New Roman" w:hAnsi="Times New Roman"/>
          <w:sz w:val="28"/>
          <w:szCs w:val="28"/>
          <w:lang w:eastAsia="ru-RU"/>
        </w:rPr>
        <w:t xml:space="preserve">99,8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и </w:t>
      </w:r>
      <w:r w:rsidR="004A0477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% в общем объеме расходов поселения. </w:t>
      </w:r>
    </w:p>
    <w:p w:rsidR="00695897" w:rsidRDefault="004A0477" w:rsidP="004A04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Муниципальная программа «</w:t>
      </w:r>
      <w:r w:rsidRPr="004A0477">
        <w:rPr>
          <w:rFonts w:ascii="Times New Roman" w:hAnsi="Times New Roman"/>
          <w:sz w:val="28"/>
          <w:szCs w:val="28"/>
          <w:lang w:eastAsia="ru-RU"/>
        </w:rPr>
        <w:t>Развитие муниципальной службы в Администрации сельского поселения Андомское на 2021 -2023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реализовывалась по 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897">
        <w:rPr>
          <w:rFonts w:ascii="Times New Roman" w:eastAsia="Times New Roman" w:hAnsi="Times New Roman"/>
          <w:bCs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04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4A0477">
        <w:rPr>
          <w:rFonts w:ascii="Times New Roman" w:hAnsi="Times New Roman"/>
          <w:sz w:val="28"/>
          <w:szCs w:val="28"/>
          <w:lang w:eastAsia="ru-RU"/>
        </w:rPr>
        <w:t>рамках Основного мероприятия «Мероприятия по подготовке, переподготовке, повышению квалификации кадров»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сумму 5,0 тыс. рублей. Программа исполнена на 100,0 %,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в общем объеме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расходы составили менее 0,1 %.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95897" w:rsidRDefault="004A0477" w:rsidP="004A04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A0477">
        <w:rPr>
          <w:rFonts w:ascii="Times New Roman" w:hAnsi="Times New Roman"/>
          <w:sz w:val="28"/>
          <w:szCs w:val="28"/>
          <w:lang w:eastAsia="ru-RU"/>
        </w:rPr>
        <w:t>Муниципальная программа Благоустройство территории, реконструкция и ремонт сетей уличного освещения муниципального образования сельское поселение Андомское на 2021 - 2023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реализовывалась по раздел</w:t>
      </w:r>
      <w:r w:rsidR="002B6AF8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2B6AF8" w:rsidRPr="002B6A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6B17" w:rsidRPr="00695897" w:rsidRDefault="002B6AF8" w:rsidP="000C6B17">
      <w:pPr>
        <w:pStyle w:val="ae"/>
        <w:tabs>
          <w:tab w:val="clear" w:pos="9355"/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«Национальная экономика» </w:t>
      </w:r>
      <w:r w:rsidRPr="002B6AF8">
        <w:rPr>
          <w:rFonts w:ascii="Times New Roman" w:hAnsi="Times New Roman"/>
          <w:color w:val="000000"/>
          <w:sz w:val="28"/>
          <w:szCs w:val="28"/>
          <w:lang w:eastAsia="ru-RU"/>
        </w:rPr>
        <w:t>в рамках Основного мероприятия 5 «Мероприятия по предотвращению распространения сорного растения»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сумму 606,2 тыс. рублей, «Жилищно – коммунальное хозяйство» в рамках</w:t>
      </w:r>
      <w:r w:rsidRPr="002B6A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 мероприятия 1 «Благоустройство и санитарная очистка террит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ории» на сумму 395,6 тыс. рублей, </w:t>
      </w:r>
      <w:r w:rsidR="000C6B17" w:rsidRPr="000C6B17">
        <w:rPr>
          <w:rFonts w:ascii="Times New Roman" w:hAnsi="Times New Roman"/>
          <w:color w:val="000000"/>
          <w:sz w:val="28"/>
          <w:szCs w:val="28"/>
          <w:lang w:eastAsia="ru-RU"/>
        </w:rPr>
        <w:t>в рамках Основного мероприятия 2 «Содержание, обустройство и обслуживание сетей уличного освещения поселения» на сумму 1002,0 тыс. рублей</w:t>
      </w:r>
      <w:r w:rsidR="000C6B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рамках </w:t>
      </w:r>
      <w:r w:rsidR="000C6B17" w:rsidRPr="000C6B17">
        <w:rPr>
          <w:rFonts w:ascii="Times New Roman" w:hAnsi="Times New Roman"/>
          <w:color w:val="000000"/>
          <w:sz w:val="28"/>
          <w:szCs w:val="28"/>
          <w:lang w:eastAsia="ru-RU"/>
        </w:rPr>
        <w:t>Основного мероприятия 3 «Благоустройство и содержание мест захоро</w:t>
      </w:r>
      <w:r w:rsidR="000C6B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нения» на сумму 78,4 тыс. рублей, </w:t>
      </w:r>
      <w:r w:rsidR="000C6B17" w:rsidRPr="000C6B17">
        <w:rPr>
          <w:rFonts w:ascii="Times New Roman" w:hAnsi="Times New Roman"/>
          <w:color w:val="000000"/>
          <w:sz w:val="28"/>
          <w:szCs w:val="28"/>
          <w:lang w:eastAsia="ru-RU"/>
        </w:rPr>
        <w:t>в рамках Основного мероприятия 4 «Благоустройство территории с участием населения» на сумму 2512,0 тыс. рублей</w:t>
      </w:r>
      <w:r w:rsidR="000C6B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C6B17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программе составили </w:t>
      </w:r>
      <w:r w:rsidR="000C6B17">
        <w:rPr>
          <w:rFonts w:ascii="Times New Roman" w:eastAsia="Times New Roman" w:hAnsi="Times New Roman"/>
          <w:sz w:val="28"/>
          <w:szCs w:val="28"/>
          <w:lang w:eastAsia="ru-RU"/>
        </w:rPr>
        <w:t xml:space="preserve">4594,2 </w:t>
      </w:r>
      <w:r w:rsidR="000C6B17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="000C6B17">
        <w:rPr>
          <w:rFonts w:ascii="Times New Roman" w:eastAsia="Times New Roman" w:hAnsi="Times New Roman"/>
          <w:sz w:val="28"/>
          <w:szCs w:val="28"/>
          <w:lang w:eastAsia="ru-RU"/>
        </w:rPr>
        <w:t xml:space="preserve">98,9 </w:t>
      </w:r>
      <w:r w:rsidR="000C6B17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и </w:t>
      </w:r>
      <w:r w:rsidR="000C6B17">
        <w:rPr>
          <w:rFonts w:ascii="Times New Roman" w:eastAsia="Times New Roman" w:hAnsi="Times New Roman"/>
          <w:sz w:val="28"/>
          <w:szCs w:val="28"/>
          <w:lang w:eastAsia="ru-RU"/>
        </w:rPr>
        <w:t>13,4</w:t>
      </w:r>
      <w:r w:rsidR="000C6B17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% в общем объеме расходов поселения. </w:t>
      </w:r>
    </w:p>
    <w:p w:rsidR="000C6B17" w:rsidRPr="000C6B17" w:rsidRDefault="000C6B17" w:rsidP="000C6B17">
      <w:pPr>
        <w:pStyle w:val="ae"/>
        <w:tabs>
          <w:tab w:val="clear" w:pos="4677"/>
          <w:tab w:val="center" w:pos="468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C6B17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  <w:r w:rsidRPr="000C6B1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0C6B17">
        <w:rPr>
          <w:rFonts w:ascii="Times New Roman" w:hAnsi="Times New Roman"/>
          <w:sz w:val="28"/>
          <w:szCs w:val="28"/>
          <w:lang w:eastAsia="ru-RU"/>
        </w:rPr>
        <w:t>Профилактика правонарушений и обеспечение общественного порядка на территории сельского поселения Андомское в 2021– 2023 годах»</w:t>
      </w:r>
      <w:r w:rsidRPr="000C6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реализовывалась по 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69589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«Образование»</w:t>
      </w:r>
      <w:r w:rsidRPr="000C6B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рамках </w:t>
      </w:r>
      <w:r w:rsidRPr="000C6B17">
        <w:rPr>
          <w:rFonts w:ascii="Times New Roman" w:hAnsi="Times New Roman"/>
          <w:sz w:val="28"/>
          <w:szCs w:val="28"/>
          <w:lang w:eastAsia="ru-RU"/>
        </w:rPr>
        <w:t>Основного мероприятия 1 «Организация и проведение семинаров, лекций для обучающихся в образовательном учреждении, направленных на предупреждение алкоголизма, наркомании, табакокурения,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распространения ВИЧ – инфекции» на сумму 1,0 тыс. рублей</w:t>
      </w:r>
      <w:r w:rsidRPr="000C6B17">
        <w:rPr>
          <w:rFonts w:ascii="Times New Roman" w:hAnsi="Times New Roman"/>
          <w:sz w:val="28"/>
          <w:szCs w:val="28"/>
          <w:lang w:eastAsia="ru-RU"/>
        </w:rPr>
        <w:t>.</w:t>
      </w:r>
      <w:r w:rsidRPr="000C6B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C6B17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исполнена на 100,0 %, </w:t>
      </w:r>
      <w:r w:rsidRPr="000C6B17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поселения расходы составили менее 0,1 %. </w:t>
      </w:r>
      <w:r w:rsidRPr="000C6B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944E0" w:rsidRPr="00E944E0" w:rsidRDefault="000C6B17" w:rsidP="00754C0E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Pr="000C6B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C6B1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«Развитие основных направлений социальной политики сельского поселения Андомское на 2021-2023 годы»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54C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реализовывалась по разделам бюджета поселения</w:t>
      </w:r>
      <w:r w:rsidR="00754C0E" w:rsidRPr="00754C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</w:t>
      </w:r>
      <w:r w:rsidR="00754C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«Образование» </w:t>
      </w:r>
      <w:r w:rsidR="00754C0E" w:rsidRPr="00754C0E">
        <w:rPr>
          <w:rFonts w:ascii="Times New Roman" w:hAnsi="Times New Roman"/>
          <w:sz w:val="28"/>
          <w:szCs w:val="28"/>
          <w:lang w:eastAsia="ru-RU"/>
        </w:rPr>
        <w:t>в рамках Основного мероприятия 3 «Молодежная политика» на сумму 3,0 тыс. рублей;</w:t>
      </w:r>
      <w:r w:rsidR="00754C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«Культура, кинематография» </w:t>
      </w:r>
      <w:r w:rsidR="00754C0E" w:rsidRPr="00754C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рамках </w:t>
      </w:r>
      <w:r w:rsidR="00754C0E" w:rsidRPr="00754C0E">
        <w:rPr>
          <w:rFonts w:ascii="Times New Roman" w:hAnsi="Times New Roman"/>
          <w:color w:val="000000"/>
          <w:sz w:val="28"/>
          <w:szCs w:val="28"/>
          <w:lang w:eastAsia="ru-RU"/>
        </w:rPr>
        <w:t>Основного мероприятия 1 «Развитие культуры на территории сельского поселения Андомское» на сумму 23317,6 тыс. рублей;</w:t>
      </w:r>
      <w:r w:rsidR="00754C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«Социальная политика» </w:t>
      </w:r>
      <w:r w:rsidR="00754C0E" w:rsidRPr="00754C0E">
        <w:rPr>
          <w:rFonts w:ascii="Times New Roman" w:hAnsi="Times New Roman"/>
          <w:color w:val="000000"/>
          <w:sz w:val="28"/>
          <w:szCs w:val="28"/>
          <w:lang w:eastAsia="ru-RU"/>
        </w:rPr>
        <w:t>в рамках Основного мероприятия 4 «Социальная поддержка и пенсионное обеспечение за выслугу л</w:t>
      </w:r>
      <w:r w:rsidR="00754C0E">
        <w:rPr>
          <w:rFonts w:ascii="Times New Roman" w:hAnsi="Times New Roman"/>
          <w:color w:val="000000"/>
          <w:sz w:val="28"/>
          <w:szCs w:val="28"/>
          <w:lang w:eastAsia="ru-RU"/>
        </w:rPr>
        <w:t>ет» на сумму 406,1 тыс. рублей</w:t>
      </w:r>
      <w:r w:rsidR="00754C0E" w:rsidRPr="00754C0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754C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«Физиче</w:t>
      </w:r>
      <w:r w:rsidR="00754C0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ская культура и спорт» </w:t>
      </w:r>
      <w:r w:rsidR="00754C0E" w:rsidRPr="00754C0E">
        <w:rPr>
          <w:rFonts w:ascii="Times New Roman" w:hAnsi="Times New Roman"/>
          <w:color w:val="000000"/>
          <w:sz w:val="28"/>
          <w:szCs w:val="28"/>
          <w:lang w:eastAsia="ru-RU"/>
        </w:rPr>
        <w:t>в рамках Основного мероприятия 2 «Развитие физической культуры и спорта» на сумму 88,0 тыс. ру</w:t>
      </w:r>
      <w:r w:rsidR="00754C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блей. </w:t>
      </w:r>
      <w:r w:rsidR="00754C0E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программе составили </w:t>
      </w:r>
      <w:r w:rsidR="00754C0E">
        <w:rPr>
          <w:rFonts w:ascii="Times New Roman" w:eastAsia="Times New Roman" w:hAnsi="Times New Roman"/>
          <w:sz w:val="28"/>
          <w:szCs w:val="28"/>
          <w:lang w:eastAsia="ru-RU"/>
        </w:rPr>
        <w:t>23814,7</w:t>
      </w:r>
      <w:r w:rsidR="00754C0E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754C0E">
        <w:rPr>
          <w:rFonts w:ascii="Times New Roman" w:eastAsia="Times New Roman" w:hAnsi="Times New Roman"/>
          <w:sz w:val="28"/>
          <w:szCs w:val="28"/>
          <w:lang w:eastAsia="ru-RU"/>
        </w:rPr>
        <w:t xml:space="preserve">49,2 </w:t>
      </w:r>
      <w:r w:rsidR="00754C0E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и </w:t>
      </w:r>
      <w:r w:rsidR="00754C0E">
        <w:rPr>
          <w:rFonts w:ascii="Times New Roman" w:eastAsia="Times New Roman" w:hAnsi="Times New Roman"/>
          <w:sz w:val="28"/>
          <w:szCs w:val="28"/>
          <w:lang w:eastAsia="ru-RU"/>
        </w:rPr>
        <w:t>69,3</w:t>
      </w:r>
      <w:r w:rsidR="00754C0E" w:rsidRPr="00695897">
        <w:rPr>
          <w:rFonts w:ascii="Times New Roman" w:eastAsia="Times New Roman" w:hAnsi="Times New Roman"/>
          <w:sz w:val="28"/>
          <w:szCs w:val="28"/>
          <w:lang w:eastAsia="ru-RU"/>
        </w:rPr>
        <w:t xml:space="preserve"> % в общем объеме расходов поселения. </w:t>
      </w:r>
      <w:r w:rsidR="004C3949" w:rsidRPr="004C3949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841D32" w:rsidRDefault="004C3949" w:rsidP="003850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</w:t>
      </w:r>
      <w:r w:rsidR="0038509C">
        <w:rPr>
          <w:rFonts w:ascii="Times New Roman" w:hAnsi="Times New Roman"/>
          <w:sz w:val="28"/>
          <w:szCs w:val="28"/>
          <w:lang w:eastAsia="ru-RU"/>
        </w:rPr>
        <w:t>муниципальной программы «</w:t>
      </w:r>
      <w:r w:rsidR="00E944E0" w:rsidRPr="00E944E0">
        <w:rPr>
          <w:rFonts w:ascii="Times New Roman" w:hAnsi="Times New Roman"/>
          <w:iCs/>
          <w:sz w:val="28"/>
          <w:szCs w:val="28"/>
          <w:lang w:eastAsia="ru-RU"/>
        </w:rPr>
        <w:t xml:space="preserve">Развитие основных направлений социальной политики сельского поселения Андомское на </w:t>
      </w:r>
      <w:r w:rsidR="00D604CA">
        <w:rPr>
          <w:rFonts w:ascii="Times New Roman" w:hAnsi="Times New Roman"/>
          <w:iCs/>
          <w:sz w:val="28"/>
          <w:szCs w:val="28"/>
          <w:lang w:eastAsia="ru-RU"/>
        </w:rPr>
        <w:t>202</w:t>
      </w:r>
      <w:r w:rsidR="00754C0E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E944E0" w:rsidRPr="00E944E0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D604CA">
        <w:rPr>
          <w:rFonts w:ascii="Times New Roman" w:hAnsi="Times New Roman"/>
          <w:iCs/>
          <w:sz w:val="28"/>
          <w:szCs w:val="28"/>
          <w:lang w:eastAsia="ru-RU"/>
        </w:rPr>
        <w:t>202</w:t>
      </w:r>
      <w:r w:rsidR="00754C0E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E944E0" w:rsidRPr="00E944E0">
        <w:rPr>
          <w:rFonts w:ascii="Times New Roman" w:hAnsi="Times New Roman"/>
          <w:iCs/>
          <w:sz w:val="28"/>
          <w:szCs w:val="28"/>
          <w:lang w:eastAsia="ru-RU"/>
        </w:rPr>
        <w:t xml:space="preserve"> годы</w:t>
      </w:r>
      <w:r w:rsidR="00AC2081" w:rsidRPr="00E944E0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944E0">
        <w:rPr>
          <w:rFonts w:ascii="Times New Roman" w:hAnsi="Times New Roman"/>
          <w:sz w:val="28"/>
          <w:szCs w:val="28"/>
          <w:lang w:eastAsia="ru-RU"/>
        </w:rPr>
        <w:t>6</w:t>
      </w:r>
      <w:r w:rsidR="00754C0E">
        <w:rPr>
          <w:rFonts w:ascii="Times New Roman" w:hAnsi="Times New Roman"/>
          <w:sz w:val="28"/>
          <w:szCs w:val="28"/>
          <w:lang w:eastAsia="ru-RU"/>
        </w:rPr>
        <w:t>9,3</w:t>
      </w:r>
      <w:r w:rsidR="0038509C" w:rsidRPr="00E944E0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754C0E" w:rsidRPr="00754C0E" w:rsidRDefault="00754C0E" w:rsidP="00754C0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54C0E">
        <w:rPr>
          <w:rFonts w:ascii="Times New Roman" w:hAnsi="Times New Roman"/>
          <w:sz w:val="28"/>
          <w:szCs w:val="28"/>
          <w:lang w:eastAsia="ru-RU"/>
        </w:rPr>
        <w:t xml:space="preserve">В реализации федеральных целевых программ Администрация поселения участия не принимала. Соответственно форма 0503166 «Сведения об исполнении мероприятий в рамках целевых программ» не имеет числового значения и не заполняется.     </w:t>
      </w:r>
    </w:p>
    <w:p w:rsidR="004201C9" w:rsidRDefault="003C3868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765F3">
        <w:rPr>
          <w:rFonts w:ascii="Times New Roman" w:hAnsi="Times New Roman"/>
          <w:sz w:val="28"/>
          <w:szCs w:val="28"/>
          <w:lang w:eastAsia="ru-RU"/>
        </w:rPr>
        <w:t>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поселения реализовано </w:t>
      </w:r>
      <w:r w:rsidR="00754C0E"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>общественно значимых муниципальных проект</w:t>
      </w:r>
      <w:r w:rsidR="00754C0E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>в рамках проекта «Народный бюджет»,</w:t>
      </w:r>
      <w:r w:rsidR="00754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754C0E">
        <w:rPr>
          <w:rFonts w:ascii="Times New Roman" w:hAnsi="Times New Roman"/>
          <w:sz w:val="28"/>
          <w:szCs w:val="28"/>
          <w:lang w:eastAsia="ru-RU"/>
        </w:rPr>
        <w:t>2977,0</w:t>
      </w:r>
      <w:r w:rsidR="00E944E0" w:rsidRPr="00E944E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754C0E" w:rsidRPr="00754C0E">
        <w:rPr>
          <w:rFonts w:ascii="Times New Roman" w:hAnsi="Times New Roman"/>
          <w:sz w:val="28"/>
          <w:szCs w:val="28"/>
          <w:lang w:eastAsia="ru-RU"/>
        </w:rPr>
        <w:t xml:space="preserve">субсидии из областного бюджета – 2083,9 тыс. рублей, средства бюджета поселения и пожертвования граждан, организаций – 893,1 тыс. рублей (софинансирование).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754C0E">
        <w:rPr>
          <w:rFonts w:ascii="Times New Roman" w:hAnsi="Times New Roman"/>
          <w:sz w:val="28"/>
          <w:szCs w:val="28"/>
          <w:lang w:eastAsia="ru-RU"/>
        </w:rPr>
        <w:t xml:space="preserve">о реализации проектов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>отражена в разделе 3 Пояснительной записки ф. 0503160.</w:t>
      </w:r>
      <w:r w:rsidR="00E944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7C64A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7C64A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7B9B" w:rsidRDefault="004201C9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8676,2</w:t>
      </w:r>
      <w:r w:rsidR="006E7B9B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6E7B9B" w:rsidRPr="004201C9" w:rsidRDefault="006E7B9B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– 1270,7 тыс. рублей </w:t>
      </w:r>
    </w:p>
    <w:p w:rsidR="006E7B9B" w:rsidRPr="004201C9" w:rsidRDefault="006E7B9B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1263,7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E7B9B" w:rsidRPr="004201C9" w:rsidRDefault="006E7B9B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1776,4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E7B9B" w:rsidRPr="005D4F7D" w:rsidRDefault="006E7B9B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3663,0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7B9B" w:rsidRPr="004201C9" w:rsidRDefault="006E7B9B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702,4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3808" w:rsidRPr="00973808" w:rsidRDefault="004201C9" w:rsidP="006E7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958,3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808" w:rsidRPr="004201C9" w:rsidRDefault="00973808" w:rsidP="00973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 xml:space="preserve">66,8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 xml:space="preserve">200,9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, в том числе получено безвозмездно на сумму 11,4 тыс.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690,6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198,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65F3" w:rsidRPr="004201C9" w:rsidRDefault="00A765F3" w:rsidP="00A765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18,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B7E9F" w:rsidRPr="00973808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инвентарь производственный и хозяйственный на сумму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176,9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ыс. рублей</w:t>
      </w: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 xml:space="preserve">,7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основных средств на 01.01.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9435,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973808" w:rsidRPr="004201C9" w:rsidRDefault="0097380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1270,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1312,4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>1776,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6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87,0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CB7E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6E7B9B">
        <w:rPr>
          <w:rFonts w:ascii="Times New Roman" w:eastAsia="Times New Roman" w:hAnsi="Times New Roman"/>
          <w:sz w:val="28"/>
          <w:szCs w:val="28"/>
          <w:lang w:eastAsia="ru-RU"/>
        </w:rPr>
        <w:t>1389,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7360,3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>начислено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амортизации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427,5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амортизация основных средств на 01.01.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787,8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1647,9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2A3D" w:rsidRPr="004201C9" w:rsidRDefault="00D52A3D" w:rsidP="00D52A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–2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 xml:space="preserve">35,9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</w:p>
    <w:p w:rsidR="00D52A3D" w:rsidRPr="004201C9" w:rsidRDefault="00D52A3D" w:rsidP="00D52A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103,0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52A3D" w:rsidRPr="004201C9" w:rsidRDefault="00D52A3D" w:rsidP="00D52A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4D02BF">
        <w:rPr>
          <w:rFonts w:ascii="Times New Roman" w:eastAsia="Times New Roman" w:hAnsi="Times New Roman"/>
          <w:sz w:val="28"/>
          <w:szCs w:val="28"/>
          <w:lang w:eastAsia="ru-RU"/>
        </w:rPr>
        <w:t>745,7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52A3D" w:rsidRDefault="00D52A3D" w:rsidP="00D52A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инвентарь производственный и хозяйственный на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1,7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02BF" w:rsidRPr="004201C9" w:rsidRDefault="004D02BF" w:rsidP="004D02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561,6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96" w:rsidRDefault="004201C9" w:rsidP="00B66A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иное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движимое имущество).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733,4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вижимое имущество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),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733,4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D52A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D604CA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34E69" w:rsidRPr="004201C9">
        <w:rPr>
          <w:rFonts w:ascii="Times New Roman" w:eastAsia="Times New Roman" w:hAnsi="Times New Roman"/>
          <w:sz w:val="28"/>
          <w:szCs w:val="28"/>
          <w:lang w:eastAsia="ru-RU"/>
        </w:rPr>
        <w:t>иное движимое имущество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12407" w:rsidRDefault="00B66A96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непроизведенные активы составили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4311,5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выбыло –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45,3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266,2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8B6D82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1743,2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рублей, поступление –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931,8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2496,2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B66A9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B6D82">
        <w:rPr>
          <w:rFonts w:ascii="Times New Roman" w:eastAsia="Times New Roman" w:hAnsi="Times New Roman"/>
          <w:sz w:val="28"/>
          <w:szCs w:val="28"/>
          <w:lang w:eastAsia="ru-RU"/>
        </w:rPr>
        <w:t>8,8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97003" w:rsidRDefault="00C97003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пользования активами на 01.01.2022 года на балансе не числились, в течение года поступление составило 6,0 тыс. рублей, в результате остаточная стоимость на 01.01.2023 года составила 6,0 тыс. рублей. 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на 01.01.2022 года составляла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40105,9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12297,5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движимого имущества казны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447,5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 27360,9 тыс. рублей.</w:t>
      </w:r>
    </w:p>
    <w:p w:rsidR="006A6419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Поступлений имущества в казну в 2022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>афиксировано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793,1 тыс. рублей</w:t>
      </w:r>
      <w:r w:rsidR="006A6419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(земельные участки)</w:t>
      </w: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выбыло имущества на сумму </w:t>
      </w:r>
      <w:r w:rsidR="006A6419">
        <w:rPr>
          <w:rFonts w:ascii="Times New Roman" w:eastAsia="Times New Roman" w:hAnsi="Times New Roman"/>
          <w:sz w:val="28"/>
          <w:szCs w:val="28"/>
          <w:lang w:eastAsia="ru-RU"/>
        </w:rPr>
        <w:t>300,</w:t>
      </w:r>
      <w:r w:rsidR="008E36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6A641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безвозмездная передача </w:t>
      </w:r>
      <w:r w:rsidR="00761F69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6A64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остаточная стоимость имущества казны на 01.01.2023 года составила </w:t>
      </w:r>
      <w:r w:rsidR="006A6419">
        <w:rPr>
          <w:rFonts w:ascii="Times New Roman" w:eastAsia="Times New Roman" w:hAnsi="Times New Roman"/>
          <w:sz w:val="28"/>
          <w:szCs w:val="28"/>
          <w:lang w:eastAsia="ru-RU"/>
        </w:rPr>
        <w:t>40598,4</w:t>
      </w:r>
      <w:r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6A6419" w:rsidRPr="006A6419" w:rsidRDefault="006A6419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6D82" w:rsidRPr="008B6D82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недвижимого имущес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тва казны – 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>12098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6419" w:rsidRDefault="006A6419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6D82"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движимого имущества казны – 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>447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B6D82" w:rsidRPr="008B6D82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6D82" w:rsidRPr="008B6D82" w:rsidRDefault="006A6419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6D82" w:rsidRPr="008B6D8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непроизведенных активов – 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>28052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6419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E4021E" w:rsidRDefault="00E4021E" w:rsidP="00E402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сопоставлении данных Сведений ф. 0503168 с данными Баланса ф. 0503130 расхождений не установлено. 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8B6D82" w:rsidRDefault="008B6D82" w:rsidP="008B6D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8E3646">
        <w:rPr>
          <w:rFonts w:ascii="Times New Roman" w:eastAsia="Times New Roman" w:hAnsi="Times New Roman"/>
          <w:sz w:val="28"/>
          <w:szCs w:val="28"/>
          <w:lang w:eastAsia="ru-RU"/>
        </w:rPr>
        <w:t>514,3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8E3646">
        <w:rPr>
          <w:rFonts w:ascii="Times New Roman" w:eastAsia="Times New Roman" w:hAnsi="Times New Roman"/>
          <w:sz w:val="28"/>
          <w:szCs w:val="28"/>
          <w:lang w:eastAsia="ru-RU"/>
        </w:rPr>
        <w:t>198,8</w:t>
      </w:r>
      <w:r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8E3646">
        <w:rPr>
          <w:rFonts w:ascii="Times New Roman" w:eastAsia="Times New Roman" w:hAnsi="Times New Roman"/>
          <w:sz w:val="28"/>
          <w:szCs w:val="28"/>
          <w:lang w:eastAsia="ru-RU"/>
        </w:rPr>
        <w:t>713,1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E3646">
        <w:rPr>
          <w:rFonts w:ascii="Times New Roman" w:eastAsia="Times New Roman" w:hAnsi="Times New Roman"/>
          <w:sz w:val="28"/>
          <w:szCs w:val="28"/>
          <w:lang w:eastAsia="ru-RU"/>
        </w:rPr>
        <w:t>, в том числе иное движимое имущество – 234,2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E3646" w:rsidRPr="008E3646" w:rsidRDefault="008E3646" w:rsidP="008E36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6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(раздел 3 «Движение материальных ценностей на забалансовых счетах») с данными Справки о наличии имущества и обязательств на забалансовых счетах к Балансу ф. 0503130 расхождений не установлено. </w:t>
      </w:r>
    </w:p>
    <w:p w:rsidR="005A166D" w:rsidRDefault="00180B3A" w:rsidP="00E344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</w:t>
      </w:r>
      <w:r w:rsidR="00BA2471" w:rsidRPr="003C3868">
        <w:rPr>
          <w:rFonts w:ascii="Times New Roman" w:eastAsia="Times New Roman" w:hAnsi="Times New Roman"/>
          <w:sz w:val="28"/>
          <w:szCs w:val="28"/>
          <w:lang w:eastAsia="ru-RU"/>
        </w:rPr>
        <w:t>, непроизведенных активов,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запасов по Отчету ф.0503121 соответствует идентичн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 w:rsidRPr="003C386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  <w:r w:rsidR="00E42045"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2322C" w:rsidRPr="00F9727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A48C5" w:rsidRDefault="0062322C" w:rsidP="00132E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4A4F" w:rsidRDefault="00626506" w:rsidP="007C64A1">
      <w:pPr>
        <w:tabs>
          <w:tab w:val="left" w:pos="567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  <w:r w:rsidR="002C032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7C64A1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D604CA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087236">
        <w:rPr>
          <w:rFonts w:ascii="Times New Roman" w:hAnsi="Times New Roman"/>
          <w:color w:val="000000"/>
          <w:sz w:val="28"/>
          <w:szCs w:val="28"/>
          <w:lang w:eastAsia="ru-RU"/>
        </w:rPr>
        <w:t>36968,9</w:t>
      </w:r>
      <w:r w:rsidR="005D4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7C64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87236">
        <w:rPr>
          <w:rFonts w:ascii="Times New Roman" w:hAnsi="Times New Roman"/>
          <w:sz w:val="28"/>
          <w:szCs w:val="28"/>
          <w:lang w:eastAsia="ru-RU"/>
        </w:rPr>
        <w:t>32668,2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87236">
        <w:rPr>
          <w:rFonts w:ascii="Times New Roman" w:hAnsi="Times New Roman"/>
          <w:sz w:val="28"/>
          <w:szCs w:val="28"/>
          <w:lang w:eastAsia="ru-RU"/>
        </w:rPr>
        <w:t>4300,7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087236" w:rsidRDefault="00087236" w:rsidP="007C64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87236">
        <w:rPr>
          <w:rFonts w:ascii="Times New Roman" w:hAnsi="Times New Roman"/>
          <w:sz w:val="28"/>
          <w:szCs w:val="28"/>
          <w:lang w:eastAsia="ru-RU"/>
        </w:rPr>
        <w:t>За 2022 год дебиторская задолженность у</w:t>
      </w:r>
      <w:r w:rsidR="000325C7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087236">
        <w:rPr>
          <w:rFonts w:ascii="Times New Roman" w:hAnsi="Times New Roman"/>
          <w:sz w:val="28"/>
          <w:szCs w:val="28"/>
          <w:lang w:eastAsia="ru-RU"/>
        </w:rPr>
        <w:t>к уровню 2021 года (</w:t>
      </w:r>
      <w:r w:rsidR="000325C7">
        <w:rPr>
          <w:rFonts w:ascii="Times New Roman" w:hAnsi="Times New Roman"/>
          <w:color w:val="000000"/>
          <w:sz w:val="28"/>
          <w:szCs w:val="28"/>
          <w:lang w:eastAsia="ru-RU"/>
        </w:rPr>
        <w:t>58374,6</w:t>
      </w:r>
      <w:r w:rsidRPr="00087236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0325C7">
        <w:rPr>
          <w:rFonts w:ascii="Times New Roman" w:hAnsi="Times New Roman"/>
          <w:sz w:val="28"/>
          <w:szCs w:val="28"/>
          <w:lang w:eastAsia="ru-RU"/>
        </w:rPr>
        <w:t xml:space="preserve">21405,7 </w:t>
      </w:r>
      <w:r w:rsidRPr="00087236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0325C7">
        <w:rPr>
          <w:rFonts w:ascii="Times New Roman" w:hAnsi="Times New Roman"/>
          <w:sz w:val="28"/>
          <w:szCs w:val="28"/>
          <w:lang w:eastAsia="ru-RU"/>
        </w:rPr>
        <w:t>36,7</w:t>
      </w:r>
      <w:r w:rsidRPr="00087236">
        <w:rPr>
          <w:rFonts w:ascii="Times New Roman" w:hAnsi="Times New Roman"/>
          <w:sz w:val="28"/>
          <w:szCs w:val="28"/>
          <w:lang w:eastAsia="ru-RU"/>
        </w:rPr>
        <w:t xml:space="preserve"> %.    </w:t>
      </w:r>
    </w:p>
    <w:p w:rsidR="000325C7" w:rsidRPr="000325C7" w:rsidRDefault="000325C7" w:rsidP="007C64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доходам в сумме </w:t>
      </w:r>
      <w:r>
        <w:rPr>
          <w:rFonts w:ascii="Times New Roman" w:hAnsi="Times New Roman"/>
          <w:sz w:val="28"/>
          <w:szCs w:val="28"/>
          <w:lang w:eastAsia="ru-RU"/>
        </w:rPr>
        <w:t>32668,2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 тыс. рублей состоит из задолженности, образовавшейся по счету </w:t>
      </w:r>
      <w:r w:rsidRPr="000325C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325C7">
        <w:rPr>
          <w:rFonts w:ascii="Times New Roman" w:hAnsi="Times New Roman"/>
          <w:bCs/>
          <w:sz w:val="28"/>
          <w:szCs w:val="28"/>
          <w:lang w:eastAsia="ru-RU"/>
        </w:rPr>
        <w:t xml:space="preserve">Расчеты по поступлениям текущего характера от других бюджетов бюджетной системы Российской Федерации». Вся дебиторская задолженность по доходам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:rsidR="000325C7" w:rsidRDefault="000325C7" w:rsidP="000325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325C7">
        <w:rPr>
          <w:rFonts w:ascii="Times New Roman" w:hAnsi="Times New Roman"/>
          <w:sz w:val="28"/>
          <w:szCs w:val="28"/>
          <w:lang w:eastAsia="ru-RU"/>
        </w:rPr>
        <w:t>По состоянию на 01.01.2023 года дебиторская задолженность по доходам 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0325C7">
        <w:rPr>
          <w:rFonts w:ascii="Times New Roman" w:hAnsi="Times New Roman"/>
          <w:sz w:val="28"/>
          <w:szCs w:val="28"/>
          <w:lang w:eastAsia="ru-RU"/>
        </w:rPr>
        <w:t>по отношению к показателю на 01.01.2022 года (</w:t>
      </w:r>
      <w:r>
        <w:rPr>
          <w:rFonts w:ascii="Times New Roman" w:hAnsi="Times New Roman"/>
          <w:sz w:val="28"/>
          <w:szCs w:val="28"/>
          <w:lang w:eastAsia="ru-RU"/>
        </w:rPr>
        <w:t xml:space="preserve">58164,1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0325C7">
        <w:rPr>
          <w:rFonts w:ascii="Times New Roman" w:hAnsi="Times New Roman"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 xml:space="preserve">5,9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43,8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0325C7" w:rsidRPr="000325C7" w:rsidRDefault="000325C7" w:rsidP="000325C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4300,7 </w:t>
      </w:r>
      <w:r w:rsidRPr="000325C7">
        <w:rPr>
          <w:rFonts w:ascii="Times New Roman" w:hAnsi="Times New Roman"/>
          <w:sz w:val="28"/>
          <w:szCs w:val="28"/>
          <w:lang w:eastAsia="ru-RU"/>
        </w:rPr>
        <w:t>тыс. рублей включает:</w:t>
      </w:r>
    </w:p>
    <w:p w:rsidR="000325C7" w:rsidRPr="000325C7" w:rsidRDefault="000325C7" w:rsidP="000325C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- задолженность по выданным авансам (счет 120600000) в сумме 4153,9 тыс. рублей, в том числе авансы: по </w:t>
      </w:r>
      <w:r w:rsidRPr="000325C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коммунальным услугам – 13,7 тыс. рублей,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по работам, услугам по содержанию имущества – 4134,5 тыс. рублей, </w:t>
      </w:r>
      <w:r w:rsidRPr="000325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приобретению материальных запасов – 5,7 тыс. рублей; </w:t>
      </w:r>
    </w:p>
    <w:p w:rsidR="000325C7" w:rsidRPr="000325C7" w:rsidRDefault="000325C7" w:rsidP="000325C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325C7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146,8 тыс. рублей. </w:t>
      </w:r>
    </w:p>
    <w:p w:rsidR="008C1B5E" w:rsidRPr="008C1B5E" w:rsidRDefault="000325C7" w:rsidP="008C1B5E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5C7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на 01.01.2022 г. (</w:t>
      </w:r>
      <w:r w:rsidR="008C1B5E">
        <w:rPr>
          <w:rFonts w:ascii="Times New Roman" w:hAnsi="Times New Roman"/>
          <w:sz w:val="28"/>
          <w:szCs w:val="28"/>
          <w:lang w:eastAsia="ru-RU"/>
        </w:rPr>
        <w:t xml:space="preserve">210,5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увеличилась на </w:t>
      </w:r>
      <w:r w:rsidR="008C1B5E">
        <w:rPr>
          <w:rFonts w:ascii="Times New Roman" w:hAnsi="Times New Roman"/>
          <w:sz w:val="28"/>
          <w:szCs w:val="28"/>
          <w:lang w:eastAsia="ru-RU"/>
        </w:rPr>
        <w:t xml:space="preserve">4090,2 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8C1B5E" w:rsidRPr="008C1B5E">
        <w:rPr>
          <w:rFonts w:ascii="Times New Roman" w:hAnsi="Times New Roman"/>
          <w:sz w:val="28"/>
          <w:szCs w:val="28"/>
          <w:lang w:eastAsia="ru-RU"/>
        </w:rPr>
        <w:t xml:space="preserve">или в 20,4 раз что обусловлено увеличением задолженности по расчетам по содержанию имущества (расходы по капитальному ремонту дома культуры).  </w:t>
      </w:r>
    </w:p>
    <w:p w:rsidR="000325C7" w:rsidRPr="000325C7" w:rsidRDefault="000325C7" w:rsidP="000325C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5C7">
        <w:rPr>
          <w:rFonts w:ascii="Times New Roman" w:hAnsi="Times New Roman"/>
          <w:sz w:val="28"/>
          <w:szCs w:val="28"/>
          <w:lang w:eastAsia="ru-RU"/>
        </w:rPr>
        <w:t xml:space="preserve">       Просроченная дебиторская задолженность</w:t>
      </w:r>
      <w:r w:rsidRPr="000325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Администрации поселения</w:t>
      </w:r>
      <w:r w:rsidRPr="000325C7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01.01.2023 г. отсутствует. </w:t>
      </w:r>
    </w:p>
    <w:p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8C1B5E">
        <w:rPr>
          <w:rFonts w:ascii="Times New Roman" w:hAnsi="Times New Roman"/>
          <w:sz w:val="28"/>
          <w:szCs w:val="28"/>
          <w:lang w:eastAsia="ru-RU"/>
        </w:rPr>
        <w:t>62,6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8C1B5E">
        <w:rPr>
          <w:rFonts w:ascii="Times New Roman" w:hAnsi="Times New Roman"/>
          <w:sz w:val="28"/>
          <w:szCs w:val="28"/>
          <w:lang w:eastAsia="ru-RU"/>
        </w:rPr>
        <w:t xml:space="preserve">, состоит из задолженности по выплатам. </w:t>
      </w:r>
    </w:p>
    <w:p w:rsidR="008C1B5E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</w:t>
      </w:r>
      <w:r w:rsidR="008C1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по выплатам</w:t>
      </w:r>
      <w:r w:rsidR="008C1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8C1B5E">
        <w:rPr>
          <w:rFonts w:ascii="Times New Roman" w:hAnsi="Times New Roman"/>
          <w:sz w:val="28"/>
          <w:szCs w:val="28"/>
          <w:lang w:eastAsia="ru-RU"/>
        </w:rPr>
        <w:t>ет задолженность</w:t>
      </w:r>
      <w:r w:rsidR="008C1B5E" w:rsidRPr="008C1B5E">
        <w:rPr>
          <w:rFonts w:ascii="Times New Roman" w:hAnsi="Times New Roman"/>
          <w:sz w:val="28"/>
          <w:szCs w:val="28"/>
          <w:lang w:eastAsia="ru-RU"/>
        </w:rPr>
        <w:t>:</w:t>
      </w:r>
    </w:p>
    <w:p w:rsidR="008C1B5E" w:rsidRDefault="008C1B5E" w:rsidP="008C1B5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по принятым обязательствам (счет 130200000) в сумме </w:t>
      </w:r>
      <w:r>
        <w:rPr>
          <w:rFonts w:ascii="Times New Roman" w:hAnsi="Times New Roman"/>
          <w:sz w:val="28"/>
          <w:szCs w:val="28"/>
          <w:lang w:eastAsia="ru-RU"/>
        </w:rPr>
        <w:t>61,9</w:t>
      </w:r>
      <w:r w:rsidR="00ED1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Pr="008C1B5E">
        <w:rPr>
          <w:rFonts w:ascii="Times New Roman" w:hAnsi="Times New Roman"/>
          <w:sz w:val="28"/>
          <w:szCs w:val="28"/>
          <w:lang w:eastAsia="ru-RU"/>
        </w:rPr>
        <w:t>в том числе: за услуги связи – 0,6 тыс. рублей, за коммунальные услуги – 61,3 тыс. рублей;</w:t>
      </w:r>
    </w:p>
    <w:p w:rsidR="008C1B5E" w:rsidRPr="008C1B5E" w:rsidRDefault="008C1B5E" w:rsidP="008C1B5E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</w:t>
      </w:r>
      <w:r w:rsidRPr="008C1B5E">
        <w:rPr>
          <w:rFonts w:ascii="Times New Roman" w:hAnsi="Times New Roman"/>
          <w:sz w:val="28"/>
          <w:szCs w:val="28"/>
          <w:lang w:eastAsia="ru-RU"/>
        </w:rPr>
        <w:t>по прочим расчетам с кредиторами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(счет 130400000)</w:t>
      </w:r>
      <w:r w:rsidRPr="008C1B5E">
        <w:rPr>
          <w:rFonts w:ascii="Times New Roman" w:hAnsi="Times New Roman"/>
          <w:sz w:val="28"/>
          <w:szCs w:val="28"/>
          <w:lang w:eastAsia="ru-RU"/>
        </w:rPr>
        <w:t xml:space="preserve"> в сумме 0,7 тыс. рублей (удержания</w:t>
      </w:r>
      <w:r w:rsidR="00ED3FED">
        <w:rPr>
          <w:rFonts w:ascii="Times New Roman" w:hAnsi="Times New Roman"/>
          <w:sz w:val="28"/>
          <w:szCs w:val="28"/>
          <w:lang w:eastAsia="ru-RU"/>
        </w:rPr>
        <w:t xml:space="preserve"> по исполнительному листу из выплат</w:t>
      </w:r>
      <w:r w:rsidRPr="008C1B5E">
        <w:rPr>
          <w:rFonts w:ascii="Times New Roman" w:hAnsi="Times New Roman"/>
          <w:sz w:val="28"/>
          <w:szCs w:val="28"/>
          <w:lang w:eastAsia="ru-RU"/>
        </w:rPr>
        <w:t xml:space="preserve"> по оплате труда). </w:t>
      </w:r>
    </w:p>
    <w:p w:rsidR="00F343F4" w:rsidRPr="00542611" w:rsidRDefault="00CB3ECB" w:rsidP="00F343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выплатам </w:t>
      </w:r>
      <w:r>
        <w:rPr>
          <w:rFonts w:ascii="Times New Roman" w:hAnsi="Times New Roman"/>
          <w:sz w:val="28"/>
          <w:szCs w:val="28"/>
          <w:lang w:eastAsia="ru-RU"/>
        </w:rPr>
        <w:t>сократилась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sz w:val="28"/>
          <w:szCs w:val="28"/>
          <w:lang w:eastAsia="ru-RU"/>
        </w:rPr>
        <w:t xml:space="preserve">161,1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 w:rsidRPr="00CB3ECB">
        <w:rPr>
          <w:rFonts w:ascii="Times New Roman" w:eastAsia="Times New Roman" w:hAnsi="Times New Roman"/>
          <w:sz w:val="28"/>
          <w:szCs w:val="28"/>
          <w:lang w:eastAsia="ru-RU"/>
        </w:rPr>
        <w:t xml:space="preserve">на 98,5 тыс. рублей, или на 61,1 %.      </w:t>
      </w:r>
      <w:r w:rsidR="00F343F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343F4" w:rsidRDefault="00F343F4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>В целом по состоянию на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1589B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задолженность по Администрации поселения </w:t>
      </w:r>
      <w:r w:rsidR="00CB3EC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к уровню на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2022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г. (</w:t>
      </w:r>
      <w:r w:rsidR="00CB3ECB">
        <w:rPr>
          <w:rFonts w:ascii="Times New Roman" w:hAnsi="Times New Roman"/>
          <w:sz w:val="28"/>
          <w:szCs w:val="28"/>
          <w:lang w:eastAsia="ru-RU"/>
        </w:rPr>
        <w:t xml:space="preserve">182,7 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 w:rsidR="00CB3ECB">
        <w:rPr>
          <w:rFonts w:ascii="Times New Roman" w:hAnsi="Times New Roman"/>
          <w:sz w:val="28"/>
          <w:szCs w:val="28"/>
          <w:lang w:eastAsia="ru-RU"/>
        </w:rPr>
        <w:t>120,1</w:t>
      </w:r>
      <w:r w:rsidR="0071589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CB3ECB">
        <w:rPr>
          <w:rFonts w:ascii="Times New Roman" w:hAnsi="Times New Roman"/>
          <w:sz w:val="28"/>
          <w:szCs w:val="28"/>
          <w:lang w:eastAsia="ru-RU"/>
        </w:rPr>
        <w:t xml:space="preserve">на 65,7 %. </w:t>
      </w:r>
    </w:p>
    <w:p w:rsidR="0074717F" w:rsidRDefault="00A03E98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ED3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D604CA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ED3FED" w:rsidRPr="00ED3FED" w:rsidRDefault="0074717F" w:rsidP="00ED3F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По счету 140140000 «Доходы будущих периодов» на 01.01.2023 года </w:t>
      </w:r>
      <w:r w:rsidR="00ED3FED" w:rsidRPr="00ED3FED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FED">
        <w:rPr>
          <w:rFonts w:ascii="Times New Roman" w:hAnsi="Times New Roman"/>
          <w:sz w:val="28"/>
          <w:szCs w:val="28"/>
          <w:lang w:eastAsia="ru-RU"/>
        </w:rPr>
        <w:t>32668,2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</w:t>
      </w:r>
      <w:r w:rsidR="00ED3FED" w:rsidRPr="00ED3F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510 графы 8 по состоянию на конец отчетного периода.  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01.01.2022 г. </w:t>
      </w:r>
      <w:r w:rsidR="00ED3FED">
        <w:rPr>
          <w:rFonts w:ascii="Times New Roman" w:hAnsi="Times New Roman"/>
          <w:sz w:val="28"/>
          <w:szCs w:val="28"/>
          <w:lang w:eastAsia="ru-RU"/>
        </w:rPr>
        <w:t xml:space="preserve">(58151,3 тыс. рублей) 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>у</w:t>
      </w:r>
      <w:r w:rsidR="00ED3FED">
        <w:rPr>
          <w:rFonts w:ascii="Times New Roman" w:hAnsi="Times New Roman"/>
          <w:sz w:val="28"/>
          <w:szCs w:val="28"/>
          <w:lang w:eastAsia="ru-RU"/>
        </w:rPr>
        <w:t xml:space="preserve">меньшился 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D3FED">
        <w:rPr>
          <w:rFonts w:ascii="Times New Roman" w:hAnsi="Times New Roman"/>
          <w:sz w:val="28"/>
          <w:szCs w:val="28"/>
          <w:lang w:eastAsia="ru-RU"/>
        </w:rPr>
        <w:t>25483,1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ED3FED">
        <w:rPr>
          <w:rFonts w:ascii="Times New Roman" w:hAnsi="Times New Roman"/>
          <w:sz w:val="28"/>
          <w:szCs w:val="28"/>
          <w:lang w:eastAsia="ru-RU"/>
        </w:rPr>
        <w:t>43,8</w:t>
      </w:r>
      <w:r w:rsidR="00ED3FED" w:rsidRPr="00ED3FED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D3FED" w:rsidRPr="00ED3FED" w:rsidRDefault="00ED3FED" w:rsidP="00ED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ED">
        <w:rPr>
          <w:rFonts w:ascii="Times New Roman" w:hAnsi="Times New Roman"/>
          <w:sz w:val="28"/>
          <w:szCs w:val="28"/>
          <w:lang w:eastAsia="ru-RU"/>
        </w:rPr>
        <w:t xml:space="preserve">       По счету 140160000 «Резервы предстоящих расходов» на 01.01.2023 года </w:t>
      </w:r>
      <w:r w:rsidRPr="00ED3FED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Pr="00ED3F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580,0</w:t>
      </w:r>
      <w:r w:rsidRPr="00ED3FED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</w:t>
      </w:r>
      <w:r w:rsidRPr="00ED3F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520 графы 8 по состоянию на конец отчетного периода.  П</w:t>
      </w:r>
      <w:r w:rsidRPr="00ED3FED"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показателем на 01.01.2022 г. </w:t>
      </w:r>
      <w:r>
        <w:rPr>
          <w:rFonts w:ascii="Times New Roman" w:hAnsi="Times New Roman"/>
          <w:sz w:val="28"/>
          <w:szCs w:val="28"/>
          <w:lang w:eastAsia="ru-RU"/>
        </w:rPr>
        <w:t xml:space="preserve">(112,2 тыс. рублей) </w:t>
      </w:r>
      <w:r w:rsidRPr="00ED3FED">
        <w:rPr>
          <w:rFonts w:ascii="Times New Roman" w:hAnsi="Times New Roman"/>
          <w:sz w:val="28"/>
          <w:szCs w:val="28"/>
          <w:lang w:eastAsia="ru-RU"/>
        </w:rPr>
        <w:t xml:space="preserve">увеличился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467,8 </w:t>
      </w:r>
      <w:r w:rsidRPr="00ED3FED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5,2 раза. </w:t>
      </w:r>
    </w:p>
    <w:p w:rsidR="00606ED4" w:rsidRDefault="0074717F" w:rsidP="007C64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00A4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06986" w:rsidRDefault="00606ED4" w:rsidP="007C64A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2E6682" w:rsidP="007C64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ED3FED" w:rsidRPr="00ED3FED" w:rsidRDefault="007A5516" w:rsidP="007C64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D3FED" w:rsidRPr="00ED3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соответствия бюджетной отчетности требованиям Инструкции № 191н по содержанию нарушений не установлено. </w:t>
      </w:r>
    </w:p>
    <w:p w:rsidR="00EC0903" w:rsidRPr="00EC0903" w:rsidRDefault="002E6682" w:rsidP="00ED3F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050E">
        <w:rPr>
          <w:rFonts w:ascii="Times New Roman" w:hAnsi="Times New Roman"/>
          <w:sz w:val="28"/>
          <w:szCs w:val="28"/>
          <w:lang w:eastAsia="ru-RU"/>
        </w:rPr>
        <w:t>Д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D2376A" w:rsidP="0079050E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r w:rsidR="000957AC">
        <w:rPr>
          <w:rFonts w:ascii="Times New Roman" w:hAnsi="Times New Roman"/>
          <w:color w:val="000000"/>
          <w:sz w:val="28"/>
          <w:szCs w:val="28"/>
          <w:lang w:eastAsia="ru-RU"/>
        </w:rPr>
        <w:t>Андомское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D3FE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="00D604CA"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233B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D3FED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0957AC">
        <w:rPr>
          <w:rFonts w:ascii="Times New Roman" w:hAnsi="Times New Roman"/>
          <w:sz w:val="28"/>
          <w:szCs w:val="28"/>
          <w:lang w:eastAsia="ar-SA"/>
        </w:rPr>
        <w:t>Андомское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D604CA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D604CA">
        <w:rPr>
          <w:rFonts w:ascii="Times New Roman" w:hAnsi="Times New Roman"/>
          <w:sz w:val="28"/>
          <w:szCs w:val="28"/>
          <w:lang w:eastAsia="ar-SA"/>
        </w:rPr>
        <w:t>2023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D604CA">
        <w:rPr>
          <w:rFonts w:ascii="Times New Roman" w:hAnsi="Times New Roman"/>
          <w:sz w:val="28"/>
          <w:szCs w:val="28"/>
          <w:lang w:eastAsia="ar-SA"/>
        </w:rPr>
        <w:t>2024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D604CA">
        <w:rPr>
          <w:rFonts w:ascii="Times New Roman" w:hAnsi="Times New Roman"/>
          <w:sz w:val="28"/>
          <w:szCs w:val="28"/>
          <w:lang w:eastAsia="ar-SA"/>
        </w:rPr>
        <w:t>2022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5A" w:rsidRPr="002A423C" w:rsidRDefault="00406C5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06C5A" w:rsidRPr="002A423C" w:rsidRDefault="00406C5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03" w:rsidRDefault="00C97003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F5349">
      <w:rPr>
        <w:noProof/>
      </w:rPr>
      <w:t>12</w:t>
    </w:r>
    <w:r>
      <w:rPr>
        <w:noProof/>
      </w:rPr>
      <w:fldChar w:fldCharType="end"/>
    </w:r>
  </w:p>
  <w:p w:rsidR="00C97003" w:rsidRDefault="00C970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5A" w:rsidRPr="002A423C" w:rsidRDefault="00406C5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06C5A" w:rsidRPr="002A423C" w:rsidRDefault="00406C5A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2407"/>
    <w:rsid w:val="00013181"/>
    <w:rsid w:val="00013E50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25C7"/>
    <w:rsid w:val="00033784"/>
    <w:rsid w:val="00033C9A"/>
    <w:rsid w:val="00034867"/>
    <w:rsid w:val="00034D08"/>
    <w:rsid w:val="00035A79"/>
    <w:rsid w:val="00035BE1"/>
    <w:rsid w:val="00035EE0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155C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2AD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6C9"/>
    <w:rsid w:val="00086E44"/>
    <w:rsid w:val="00087236"/>
    <w:rsid w:val="000875AC"/>
    <w:rsid w:val="0009097E"/>
    <w:rsid w:val="00090999"/>
    <w:rsid w:val="0009184E"/>
    <w:rsid w:val="00091F70"/>
    <w:rsid w:val="000924D6"/>
    <w:rsid w:val="00093A48"/>
    <w:rsid w:val="00093BE1"/>
    <w:rsid w:val="000942F5"/>
    <w:rsid w:val="000957AC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4D7"/>
    <w:rsid w:val="000B3E13"/>
    <w:rsid w:val="000B41EF"/>
    <w:rsid w:val="000B4346"/>
    <w:rsid w:val="000B5427"/>
    <w:rsid w:val="000B6A48"/>
    <w:rsid w:val="000B6BF1"/>
    <w:rsid w:val="000B7F6E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6B17"/>
    <w:rsid w:val="000C7004"/>
    <w:rsid w:val="000C7F9F"/>
    <w:rsid w:val="000D1462"/>
    <w:rsid w:val="000D1702"/>
    <w:rsid w:val="000D300A"/>
    <w:rsid w:val="000D4940"/>
    <w:rsid w:val="000D4E48"/>
    <w:rsid w:val="000D54F3"/>
    <w:rsid w:val="000D5DA3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4DC6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48DA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AEB"/>
    <w:rsid w:val="00113C13"/>
    <w:rsid w:val="001147B7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33B6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874"/>
    <w:rsid w:val="00190FD2"/>
    <w:rsid w:val="001935C6"/>
    <w:rsid w:val="001939DF"/>
    <w:rsid w:val="00194F1D"/>
    <w:rsid w:val="00195511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4731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3596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05CC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90A"/>
    <w:rsid w:val="00264A27"/>
    <w:rsid w:val="00266FCA"/>
    <w:rsid w:val="00267F29"/>
    <w:rsid w:val="002705AF"/>
    <w:rsid w:val="00271FD3"/>
    <w:rsid w:val="00272B7D"/>
    <w:rsid w:val="0027361B"/>
    <w:rsid w:val="00273994"/>
    <w:rsid w:val="00274272"/>
    <w:rsid w:val="0027560B"/>
    <w:rsid w:val="00276B98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353"/>
    <w:rsid w:val="002A6DD5"/>
    <w:rsid w:val="002A76FD"/>
    <w:rsid w:val="002B1BB9"/>
    <w:rsid w:val="002B4203"/>
    <w:rsid w:val="002B4A4F"/>
    <w:rsid w:val="002B5B73"/>
    <w:rsid w:val="002B60AF"/>
    <w:rsid w:val="002B6AF8"/>
    <w:rsid w:val="002C0327"/>
    <w:rsid w:val="002C0584"/>
    <w:rsid w:val="002C1E26"/>
    <w:rsid w:val="002C3129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315"/>
    <w:rsid w:val="00312D2B"/>
    <w:rsid w:val="00313083"/>
    <w:rsid w:val="0031391C"/>
    <w:rsid w:val="00315401"/>
    <w:rsid w:val="003156B5"/>
    <w:rsid w:val="003161FF"/>
    <w:rsid w:val="00317210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4044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4E43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79D3"/>
    <w:rsid w:val="00387CE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868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06C5A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0477"/>
    <w:rsid w:val="004A157E"/>
    <w:rsid w:val="004A174A"/>
    <w:rsid w:val="004A3871"/>
    <w:rsid w:val="004A389F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2BF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7"/>
    <w:rsid w:val="005215B8"/>
    <w:rsid w:val="00521AD6"/>
    <w:rsid w:val="00526ADF"/>
    <w:rsid w:val="00530802"/>
    <w:rsid w:val="005332FE"/>
    <w:rsid w:val="005334EF"/>
    <w:rsid w:val="00533E25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4AA"/>
    <w:rsid w:val="005A166D"/>
    <w:rsid w:val="005A1DBE"/>
    <w:rsid w:val="005A1DC3"/>
    <w:rsid w:val="005A1E9A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2FB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2258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5142"/>
    <w:rsid w:val="00626506"/>
    <w:rsid w:val="00626517"/>
    <w:rsid w:val="00626798"/>
    <w:rsid w:val="006269DB"/>
    <w:rsid w:val="00626A19"/>
    <w:rsid w:val="00627E95"/>
    <w:rsid w:val="006317FB"/>
    <w:rsid w:val="00632743"/>
    <w:rsid w:val="006330D5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708"/>
    <w:rsid w:val="00670891"/>
    <w:rsid w:val="006711E0"/>
    <w:rsid w:val="006718D3"/>
    <w:rsid w:val="00673AC5"/>
    <w:rsid w:val="0067454A"/>
    <w:rsid w:val="00680FE6"/>
    <w:rsid w:val="006810FC"/>
    <w:rsid w:val="00681441"/>
    <w:rsid w:val="0068150D"/>
    <w:rsid w:val="006828CB"/>
    <w:rsid w:val="00682B4B"/>
    <w:rsid w:val="00683F29"/>
    <w:rsid w:val="0068499F"/>
    <w:rsid w:val="00685007"/>
    <w:rsid w:val="00686E1E"/>
    <w:rsid w:val="006911AD"/>
    <w:rsid w:val="006916FF"/>
    <w:rsid w:val="00692166"/>
    <w:rsid w:val="00692693"/>
    <w:rsid w:val="0069411B"/>
    <w:rsid w:val="00694F5F"/>
    <w:rsid w:val="0069553C"/>
    <w:rsid w:val="00695897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419"/>
    <w:rsid w:val="006A6EF8"/>
    <w:rsid w:val="006B034B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187A"/>
    <w:rsid w:val="006D2A9D"/>
    <w:rsid w:val="006D2C9A"/>
    <w:rsid w:val="006D3BA3"/>
    <w:rsid w:val="006D4079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B9B"/>
    <w:rsid w:val="006E7D02"/>
    <w:rsid w:val="006E7E14"/>
    <w:rsid w:val="006F077B"/>
    <w:rsid w:val="006F154B"/>
    <w:rsid w:val="006F190B"/>
    <w:rsid w:val="006F195D"/>
    <w:rsid w:val="006F201D"/>
    <w:rsid w:val="006F4F21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04CC3"/>
    <w:rsid w:val="00710032"/>
    <w:rsid w:val="0071043D"/>
    <w:rsid w:val="00710E9D"/>
    <w:rsid w:val="00714133"/>
    <w:rsid w:val="00714394"/>
    <w:rsid w:val="0071446C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3CB2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206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4C0E"/>
    <w:rsid w:val="007558C4"/>
    <w:rsid w:val="00755B54"/>
    <w:rsid w:val="00757178"/>
    <w:rsid w:val="00757438"/>
    <w:rsid w:val="00760DC1"/>
    <w:rsid w:val="00761E2A"/>
    <w:rsid w:val="00761F69"/>
    <w:rsid w:val="00762218"/>
    <w:rsid w:val="007645DF"/>
    <w:rsid w:val="00764755"/>
    <w:rsid w:val="00766C5C"/>
    <w:rsid w:val="00771FA0"/>
    <w:rsid w:val="0077214F"/>
    <w:rsid w:val="0077295F"/>
    <w:rsid w:val="00774E0D"/>
    <w:rsid w:val="00780644"/>
    <w:rsid w:val="00780988"/>
    <w:rsid w:val="00780F7F"/>
    <w:rsid w:val="00781937"/>
    <w:rsid w:val="00782588"/>
    <w:rsid w:val="00782660"/>
    <w:rsid w:val="00783179"/>
    <w:rsid w:val="0078336A"/>
    <w:rsid w:val="00790227"/>
    <w:rsid w:val="0079050E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3CC1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4A1"/>
    <w:rsid w:val="007C6B06"/>
    <w:rsid w:val="007C74BF"/>
    <w:rsid w:val="007C76C9"/>
    <w:rsid w:val="007C78E3"/>
    <w:rsid w:val="007D0F36"/>
    <w:rsid w:val="007D0FA9"/>
    <w:rsid w:val="007D162C"/>
    <w:rsid w:val="007D21CF"/>
    <w:rsid w:val="007D567B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2736"/>
    <w:rsid w:val="0082551C"/>
    <w:rsid w:val="00830392"/>
    <w:rsid w:val="00832C4E"/>
    <w:rsid w:val="0083318C"/>
    <w:rsid w:val="008352A7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6D82"/>
    <w:rsid w:val="008B7B65"/>
    <w:rsid w:val="008C1B5E"/>
    <w:rsid w:val="008C203E"/>
    <w:rsid w:val="008C2BAD"/>
    <w:rsid w:val="008C34B8"/>
    <w:rsid w:val="008C577F"/>
    <w:rsid w:val="008C5E49"/>
    <w:rsid w:val="008D2134"/>
    <w:rsid w:val="008D3A22"/>
    <w:rsid w:val="008D46E0"/>
    <w:rsid w:val="008D4AE7"/>
    <w:rsid w:val="008D4FA8"/>
    <w:rsid w:val="008D5188"/>
    <w:rsid w:val="008D677A"/>
    <w:rsid w:val="008E19B6"/>
    <w:rsid w:val="008E2DC6"/>
    <w:rsid w:val="008E364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6CB"/>
    <w:rsid w:val="008F7A3E"/>
    <w:rsid w:val="009011AA"/>
    <w:rsid w:val="00901611"/>
    <w:rsid w:val="00902FAE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2835"/>
    <w:rsid w:val="009335F6"/>
    <w:rsid w:val="009350CC"/>
    <w:rsid w:val="00935D61"/>
    <w:rsid w:val="00936617"/>
    <w:rsid w:val="0094201F"/>
    <w:rsid w:val="009421CD"/>
    <w:rsid w:val="00942679"/>
    <w:rsid w:val="0094480C"/>
    <w:rsid w:val="00944F51"/>
    <w:rsid w:val="00945012"/>
    <w:rsid w:val="00946257"/>
    <w:rsid w:val="009474C0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10CF"/>
    <w:rsid w:val="009836D8"/>
    <w:rsid w:val="009840E9"/>
    <w:rsid w:val="00984C43"/>
    <w:rsid w:val="009852FC"/>
    <w:rsid w:val="00986130"/>
    <w:rsid w:val="009862A9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344"/>
    <w:rsid w:val="009E058D"/>
    <w:rsid w:val="009E0B18"/>
    <w:rsid w:val="009E1551"/>
    <w:rsid w:val="009E2F52"/>
    <w:rsid w:val="009E3FC3"/>
    <w:rsid w:val="009E4337"/>
    <w:rsid w:val="009E7593"/>
    <w:rsid w:val="009E7C27"/>
    <w:rsid w:val="009F138B"/>
    <w:rsid w:val="009F1B4A"/>
    <w:rsid w:val="009F1B8B"/>
    <w:rsid w:val="009F306D"/>
    <w:rsid w:val="009F3D49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3FBA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770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4A20"/>
    <w:rsid w:val="00A765F3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17A"/>
    <w:rsid w:val="00AB4BD0"/>
    <w:rsid w:val="00AB7048"/>
    <w:rsid w:val="00AC0088"/>
    <w:rsid w:val="00AC0532"/>
    <w:rsid w:val="00AC077D"/>
    <w:rsid w:val="00AC2081"/>
    <w:rsid w:val="00AC4EC5"/>
    <w:rsid w:val="00AC4FDD"/>
    <w:rsid w:val="00AD1CC4"/>
    <w:rsid w:val="00AD374B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6A96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2536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6E85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868"/>
    <w:rsid w:val="00BE2A04"/>
    <w:rsid w:val="00BE48D2"/>
    <w:rsid w:val="00BE5DE6"/>
    <w:rsid w:val="00BF1306"/>
    <w:rsid w:val="00BF161F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34FD2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1C1"/>
    <w:rsid w:val="00C55B6D"/>
    <w:rsid w:val="00C55E81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7A3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6AA3"/>
    <w:rsid w:val="00C9700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3ECB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2F82"/>
    <w:rsid w:val="00CD3094"/>
    <w:rsid w:val="00CD3904"/>
    <w:rsid w:val="00CD4BC2"/>
    <w:rsid w:val="00CE071C"/>
    <w:rsid w:val="00CE0FBB"/>
    <w:rsid w:val="00CE1A11"/>
    <w:rsid w:val="00CE2EF6"/>
    <w:rsid w:val="00CE4F33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1A93"/>
    <w:rsid w:val="00D124B9"/>
    <w:rsid w:val="00D13DB2"/>
    <w:rsid w:val="00D14A8C"/>
    <w:rsid w:val="00D16466"/>
    <w:rsid w:val="00D16E60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52A3D"/>
    <w:rsid w:val="00D5741D"/>
    <w:rsid w:val="00D604CA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A57D8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628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4F79"/>
    <w:rsid w:val="00E1521C"/>
    <w:rsid w:val="00E15E48"/>
    <w:rsid w:val="00E179DE"/>
    <w:rsid w:val="00E17A85"/>
    <w:rsid w:val="00E20670"/>
    <w:rsid w:val="00E2073F"/>
    <w:rsid w:val="00E22105"/>
    <w:rsid w:val="00E22356"/>
    <w:rsid w:val="00E2531A"/>
    <w:rsid w:val="00E2562D"/>
    <w:rsid w:val="00E25E4D"/>
    <w:rsid w:val="00E27818"/>
    <w:rsid w:val="00E30968"/>
    <w:rsid w:val="00E32140"/>
    <w:rsid w:val="00E33C29"/>
    <w:rsid w:val="00E34470"/>
    <w:rsid w:val="00E35400"/>
    <w:rsid w:val="00E35D04"/>
    <w:rsid w:val="00E3622E"/>
    <w:rsid w:val="00E36626"/>
    <w:rsid w:val="00E40022"/>
    <w:rsid w:val="00E4021E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289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44E0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1CAF"/>
    <w:rsid w:val="00ED22EB"/>
    <w:rsid w:val="00ED2DD8"/>
    <w:rsid w:val="00ED3FED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EF5349"/>
    <w:rsid w:val="00F00811"/>
    <w:rsid w:val="00F00B4A"/>
    <w:rsid w:val="00F0176F"/>
    <w:rsid w:val="00F024F3"/>
    <w:rsid w:val="00F047FE"/>
    <w:rsid w:val="00F04CE5"/>
    <w:rsid w:val="00F064E4"/>
    <w:rsid w:val="00F0798C"/>
    <w:rsid w:val="00F13452"/>
    <w:rsid w:val="00F13FDF"/>
    <w:rsid w:val="00F14F65"/>
    <w:rsid w:val="00F2057E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43F4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0023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65C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D79D0"/>
    <w:rsid w:val="00FE2D39"/>
    <w:rsid w:val="00FE35F8"/>
    <w:rsid w:val="00FE4FD0"/>
    <w:rsid w:val="00FE507F"/>
    <w:rsid w:val="00FE5381"/>
    <w:rsid w:val="00FE5842"/>
    <w:rsid w:val="00FF16F7"/>
    <w:rsid w:val="00FF1FAA"/>
    <w:rsid w:val="00FF2B93"/>
    <w:rsid w:val="00FF3E57"/>
    <w:rsid w:val="00FF6081"/>
    <w:rsid w:val="00FF65F4"/>
    <w:rsid w:val="00FF6717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2003-A274-472D-9809-AEE654A9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18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25</cp:revision>
  <cp:lastPrinted>2023-05-24T13:38:00Z</cp:lastPrinted>
  <dcterms:created xsi:type="dcterms:W3CDTF">2022-05-20T09:06:00Z</dcterms:created>
  <dcterms:modified xsi:type="dcterms:W3CDTF">2023-05-30T14:28:00Z</dcterms:modified>
</cp:coreProperties>
</file>