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ВЫТЕГОРСКОГО МУНИЦИПАЛЬНОГО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00.0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  <w:tab/>
        <w:tab/>
        <w:tab/>
        <w:t xml:space="preserve">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left="1416" w:firstLine="70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Вытегра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right="32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«Совершенствование муниципального управления в Вытегорском муниципаль</w:t>
      </w:r>
      <w:r>
        <w:rPr>
          <w:rFonts w:ascii="Times New Roman" w:hAnsi="Times New Roman"/>
          <w:sz w:val="28"/>
          <w:szCs w:val="28"/>
        </w:rPr>
        <w:t xml:space="preserve">ном районе на 2021 – 2025 годы»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7"/>
          <w:szCs w:val="27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В связи с принятием решений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Представительного Собрания Вытегорского муниципального района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от 13 декабря 2023 года № 702 «О районном бюджете на 2024 год и плановый период 2025 и 2026 годов»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руководствуясь статьей 179 Бюджетного кодекса Российской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Федерации, в соответствии с постановлением Администрации Вытегорского муниципального района от 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7"/>
          <w:szCs w:val="27"/>
        </w:rPr>
        <w:t xml:space="preserve">ПОСТАНОВЛЯЮ:</w:t>
      </w:r>
      <w:r>
        <w:rPr>
          <w:rFonts w:ascii="Times New Roman" w:hAnsi="Times New Roman" w:eastAsia="Times New Roman"/>
          <w:b/>
          <w:bCs/>
          <w:sz w:val="27"/>
          <w:szCs w:val="27"/>
        </w:rPr>
      </w:r>
      <w:r>
        <w:rPr>
          <w:rFonts w:ascii="Times New Roman" w:hAnsi="Times New Roman" w:eastAsia="Times New Roman"/>
          <w:b/>
          <w:bCs/>
          <w:sz w:val="27"/>
          <w:szCs w:val="27"/>
        </w:rPr>
      </w:r>
    </w:p>
    <w:p>
      <w:pPr>
        <w:pStyle w:val="86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м</w:t>
      </w:r>
      <w:r>
        <w:rPr>
          <w:rFonts w:ascii="Times New Roman" w:hAnsi="Times New Roman"/>
          <w:sz w:val="28"/>
          <w:szCs w:val="28"/>
        </w:rPr>
        <w:t xml:space="preserve">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Совершенствование муниципального управления в Вытегорском муниципальном районе на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Вытегорского муниципального района от 1 апреля 2019 года </w:t>
      </w:r>
      <w:r>
        <w:rPr>
          <w:rFonts w:ascii="Times New Roman" w:hAnsi="Times New Roman"/>
          <w:sz w:val="28"/>
          <w:szCs w:val="28"/>
        </w:rPr>
        <w:t xml:space="preserve">№ 346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позиции «Объем финансового обеспечения программы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паспорта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цифры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313822,0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306989,6»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«в 2023 году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67440,5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«в 2023 году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69137,6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слова «в 2024 году – 66052,6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«в 2024 году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61243,5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слова «в 2025 году – 66223,8» заменить словами «в 2025 году – 62503,4»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разделе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цифры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313822,0»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306989,6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слова «в 2023 году – 67440,5» заменить словами «в 2023 году – 69137,6», слова «в 2024 году – 66052,6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«в 2024 году – 61243,5», слова «в 2025 году – 66223,8» заменить словами «в 2025 году – 62503,4»;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риложение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 изложить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новой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редакции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4) в позиции «Объем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финансового обеспечения подпрограммы 1» паспорта подпрограммы 1 цифры «148162,4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148198,3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«2023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31277,7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«2023 год – 31474,8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слова «2024 год – 30547,1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«2024 год – 30292,7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слова «2025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30549,4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30642,6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5) в разделе 4 подпрограммы 1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цифры «148162,4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148198,3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«2023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31277,7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«2023 год – 31474,8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слова «2024 год – 30547,1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«2024 год – 30292,7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слова «2025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30549,4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30642,6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6) приложение 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подпрограмме 1 изложить в новой редакции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7) в позиции «Объем финансового обеспечения подпрограммы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паспорта подпрограммы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цифры 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15391,7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14381,2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«2024 год – 2913,0» заменить словами «2024 год – 1300,0»,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«2025 год – 2913,0» заменить словами «2025 год – 2600,0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разделе 4 подпрограммы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цифры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15391,7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14381,2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«2024 год – 2913,0» заменить словами «2024 год – 1300,0»,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«2025 год – 2913,0» заменить словами «2025 год – 2600,0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) приложение 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подпрограмме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 настоящему постановлению;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10)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позиции «Объем финансового обеспечения подпрограммы 4» паспорта подпрограммы 4 цифры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149984,0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145041,7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«2023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31104,9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«2023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32604,9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слова «2024 год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– 32592,5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«2024 год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– 29650,8», слова «2025 год – 32761,4» заменить словами «2025 год – 29260,8»;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11)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разделе 4 подпрограммы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цифры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149984,0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заменить цифрами «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145041,7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слова «2023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31104,9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«2023 год –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32604,9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», слова «2024 год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– 32592,5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» заменить словами «2024 год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– 29650,8», слова «2025 год – 32761,4» заменить словами «2025 год – 29260,8»;</w:t>
      </w:r>
      <w:r/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12)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приложение 3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подпрограмме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6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на следующий день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Администрации района</w:t>
        <w:tab/>
        <w:tab/>
        <w:tab/>
        <w:tab/>
        <w:t xml:space="preserve">    А.В. Скресанов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66"/>
        <w:rPr>
          <w:lang w:eastAsia="en-US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20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00.0</w:t>
      </w:r>
      <w:r>
        <w:rPr>
          <w:rFonts w:ascii="Times New Roman" w:hAnsi="Times New Roman"/>
          <w:sz w:val="28"/>
          <w:szCs w:val="28"/>
        </w:rPr>
        <w:t xml:space="preserve">1.202</w:t>
      </w:r>
      <w:r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«Совершенствование муниципального управления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Вытегорско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районе </w:t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-202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outlineLvl w:val="2"/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</w:t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за счет средств районного бюджета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8"/>
        <w:gridCol w:w="2833"/>
        <w:gridCol w:w="2271"/>
        <w:gridCol w:w="1377"/>
        <w:gridCol w:w="1817"/>
        <w:gridCol w:w="936"/>
        <w:gridCol w:w="936"/>
        <w:gridCol w:w="936"/>
        <w:gridCol w:w="936"/>
        <w:gridCol w:w="936"/>
      </w:tblGrid>
      <w:tr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Статус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программы,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основного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мероприятия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участник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Целевой показатель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gridSpan w:val="5"/>
            <w:tcW w:w="468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Расходы (тыс. руб.)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2021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2022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2024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83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27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377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Программа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муниципального управления в Вытегорском муниципальном района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итого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53374,3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60730,8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69137,6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61243,5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62503,4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43039,9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48651,3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58186,9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50251,7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51509,3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9077,3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11140,2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9973,8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9988,9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9991,2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tabs>
                <w:tab w:val="center" w:pos="362" w:leader="none"/>
              </w:tabs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1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муниципальной службы в Вытегорском муниципальном районе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Управление делами, </w:t>
            </w:r>
            <w:r>
              <w:rPr>
                <w:rFonts w:ascii="Times New Roman" w:hAnsi="Times New Roman"/>
                <w:lang w:eastAsia="ru-RU"/>
              </w:rPr>
              <w:t xml:space="preserve">Управление ЖКХ, транспорта и строительства</w:t>
            </w:r>
            <w:r>
              <w:rPr>
                <w:rFonts w:ascii="Times New Roman" w:hAnsi="Times New Roman"/>
                <w:lang w:eastAsia="ru-RU"/>
              </w:rPr>
              <w:t xml:space="preserve"> Администрации Вытегорского муниципального района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27106,9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28681,3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31474,8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30292,7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30642,6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24099,2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25935,6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28654,6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27431,4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27779,0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1750,6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1806,4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1843,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1858,4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1860,7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2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Противодействие коррупции в Вытегорском муниципальном районе на 2021 - 2025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Правовое управление 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3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Информатизация органов местного самоуправления Вытегорского муниципального района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ОМСУ района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4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Снижение административных барьеров, повышение качества и доступности государственных и муниципальных услуг, оказываемых на базе </w:t>
            </w: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24267,4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29257,8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32604,9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29650,8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29260,8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16940,7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19924,0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24474,4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21520,3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21130,3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7326,7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9333,8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00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83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7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1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</w:tbl>
    <w:p>
      <w:pPr>
        <w:pStyle w:val="866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66"/>
        <w:rPr>
          <w:lang w:eastAsia="en-US"/>
        </w:rPr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20" w:equalWidth="1"/>
          <w:docGrid w:linePitch="360"/>
        </w:sect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1.202</w:t>
      </w:r>
      <w:r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b/>
          <w:caps/>
          <w:sz w:val="24"/>
          <w:szCs w:val="24"/>
        </w:rPr>
        <w:outlineLvl w:val="2"/>
      </w:pPr>
      <w:r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</w:t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</w:t>
      </w:r>
      <w:r>
        <w:rPr>
          <w:rFonts w:ascii="Times New Roman" w:hAnsi="Times New Roman"/>
          <w:b/>
          <w:sz w:val="28"/>
          <w:szCs w:val="28"/>
        </w:rPr>
        <w:t xml:space="preserve">рограммы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за счет средств районного бюджета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2666"/>
        <w:gridCol w:w="2211"/>
        <w:gridCol w:w="1412"/>
        <w:gridCol w:w="1988"/>
        <w:gridCol w:w="940"/>
        <w:gridCol w:w="940"/>
        <w:gridCol w:w="940"/>
        <w:gridCol w:w="940"/>
        <w:gridCol w:w="940"/>
      </w:tblGrid>
      <w:tr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Статус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программы,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основного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мероприятия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участник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Целевой показатель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gridSpan w:val="5"/>
            <w:tcW w:w="470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Расходы (тыс. руб.)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2021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2022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2024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809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66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21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412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1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Совершенствование муниципальной службы в Вытегорском муниципальном районе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Управление делами, </w:t>
            </w:r>
            <w:r>
              <w:rPr>
                <w:rFonts w:ascii="Times New Roman" w:hAnsi="Times New Roman"/>
                <w:lang w:eastAsia="ru-RU"/>
              </w:rPr>
              <w:t xml:space="preserve">Управление ЖКХ, транспорта и строительства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27106,9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28681,3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31474,8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30292,7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30642,6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24099,2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25935,6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28654,6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27431,4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27779,0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1750,6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1806,4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1843,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1858,4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1860,7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9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Основное мероприятие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деятельности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Управление делами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Управление ЖКХ, транспорта и строительства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1,2,3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27106,9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28681,3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31474,8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30292,7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30642,6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24099,2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25935,6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28654,6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27431,4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27779,0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1750,6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1806,4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1843,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1858,4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1860,7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поселений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1257,1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939,3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976,9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1002,9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809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666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21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988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4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</w:tbl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spacing w:after="0" w:line="240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1.202</w:t>
      </w:r>
      <w:r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3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 счет средств районного бюджета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2"/>
        <w:gridCol w:w="3158"/>
        <w:gridCol w:w="2023"/>
        <w:gridCol w:w="1421"/>
        <w:gridCol w:w="2027"/>
        <w:gridCol w:w="841"/>
        <w:gridCol w:w="841"/>
        <w:gridCol w:w="841"/>
        <w:gridCol w:w="841"/>
        <w:gridCol w:w="841"/>
      </w:tblGrid>
      <w:tr>
        <w:trPr/>
        <w:tc>
          <w:tcPr>
            <w:tcW w:w="1952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Статус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программы,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основного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мероприятия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участник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Целевой показатель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gridSpan w:val="5"/>
            <w:tcW w:w="4205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Расходы (тыс. руб.)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2021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2022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2024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3158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023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42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3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Информатизация органов местного самоуправления Вытегорского муниципального района на 2021-2025 годы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итого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Основное мероприятие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Развитие сетевой и серверной инфраструктуры органов местного самоуправления Вытегорского муниципального района, внедрение современных средств коммуникаций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ОМСУ района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1,2,3,4,5,6,7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5057,9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2000,0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21586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2791,7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33cc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5059,7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1300,0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2600,0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/>
        <w:tc>
          <w:tcPr>
            <w:tcW w:w="1952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158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3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2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2027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4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</w:tr>
    </w:tbl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1.2024 №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t xml:space="preserve">программе</w:t>
      </w:r>
      <w:r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  <w:t xml:space="preserve">Финансовое обеспечение </w:t>
      </w:r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aps/>
          <w:sz w:val="28"/>
          <w:szCs w:val="28"/>
          <w:lang w:eastAsia="ru-RU"/>
        </w:rPr>
      </w:r>
    </w:p>
    <w:p>
      <w:pPr>
        <w:pStyle w:val="86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4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 счет средств районного бюджета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47"/>
        <w:gridCol w:w="3401"/>
        <w:gridCol w:w="1861"/>
        <w:gridCol w:w="1377"/>
        <w:gridCol w:w="1820"/>
        <w:gridCol w:w="936"/>
        <w:gridCol w:w="936"/>
        <w:gridCol w:w="936"/>
        <w:gridCol w:w="936"/>
        <w:gridCol w:w="936"/>
      </w:tblGrid>
      <w:tr>
        <w:trPr/>
        <w:tc>
          <w:tcPr>
            <w:tcW w:w="164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Статус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программы,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основного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мероприятия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Ответственный исполнитель,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участник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Целевой показатель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gridSpan w:val="5"/>
            <w:tcW w:w="468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Расходы (тыс. руб.)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2021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2022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2023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2024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2025</w:t>
            </w:r>
            <w:r>
              <w:rPr>
                <w:rFonts w:ascii="Times New Roman" w:hAnsi="Times New Roman"/>
                <w:b/>
                <w:lang w:eastAsia="en-US"/>
              </w:rPr>
              <w:t xml:space="preserve"> год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647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340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2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861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3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377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4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5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6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7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8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9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10</w:t>
            </w:r>
            <w:r>
              <w:rPr>
                <w:rFonts w:ascii="Times New Roman" w:hAnsi="Times New Roman"/>
                <w:b/>
                <w:lang w:eastAsia="en-US"/>
              </w:rPr>
            </w:r>
            <w:r>
              <w:rPr>
                <w:rFonts w:ascii="Times New Roman" w:hAnsi="Times New Roman"/>
                <w:b/>
                <w:lang w:eastAsia="en-US"/>
              </w:rPr>
            </w:r>
          </w:p>
        </w:tc>
      </w:tr>
      <w:tr>
        <w:trPr/>
        <w:tc>
          <w:tcPr>
            <w:tcW w:w="164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4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Снижение административных барьеров, повышение качества и доступности государственных и муниципальных услуг, оказываемых на базе многофункционального центра предоставления государственных и муниципальных услуг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итого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24267,4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29257,8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32604,9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29650,8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29260,8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16940,7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19924,0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24474,4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21520,3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21130,3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7326,7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9333,8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00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64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Основное мероприятие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предоставления государственных и муниципальных услуг в Вытегорском районе, в том числе через 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МКУ «МФЦ»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restart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1,2</w:t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всего, в том числе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24267,4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29257,8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32604,9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29650,8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29260,8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собственные доходы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16940,7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19924,0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24474,4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21520,3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21130,3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b0f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7326,7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4f6228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9333,8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ff00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1aff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8130,5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rPr/>
        <w:tc>
          <w:tcPr>
            <w:tcW w:w="164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340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61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377" w:type="dxa"/>
            <w:vAlign w:val="top"/>
            <w:vMerge w:val="continue"/>
            <w:textDirection w:val="lrTb"/>
            <w:noWrap w:val="false"/>
          </w:tcPr>
          <w:p>
            <w:pPr>
              <w:pStyle w:val="86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6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безвозмездные поступления физических и юридических лиц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  <w:tc>
          <w:tcPr>
            <w:tcW w:w="936" w:type="dxa"/>
            <w:vAlign w:val="top"/>
            <w:textDirection w:val="lrTb"/>
            <w:noWrap w:val="false"/>
          </w:tcPr>
          <w:p>
            <w:pPr>
              <w:pStyle w:val="86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0,0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</w:r>
          </w:p>
        </w:tc>
      </w:tr>
    </w:tbl>
    <w:p>
      <w:pPr>
        <w:pStyle w:val="866"/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00603000000000000"/>
  </w:font>
  <w:font w:name="Courier New">
    <w:panose1 w:val="020704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ind w:left="744" w:hanging="384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28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744" w:hanging="384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4"/>
  </w:num>
  <w:num w:numId="5">
    <w:abstractNumId w:val="15"/>
  </w:num>
  <w:num w:numId="6">
    <w:abstractNumId w:val="0"/>
  </w:num>
  <w:num w:numId="7">
    <w:abstractNumId w:val="12"/>
  </w:num>
  <w:num w:numId="8">
    <w:abstractNumId w:val="4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7"/>
  </w:num>
  <w:num w:numId="15">
    <w:abstractNumId w:val="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67">
    <w:name w:val="Заголовок 1"/>
    <w:basedOn w:val="866"/>
    <w:next w:val="866"/>
    <w:link w:val="879"/>
    <w:uiPriority w:val="9"/>
    <w:qFormat/>
    <w:pPr>
      <w:jc w:val="center"/>
      <w:spacing w:before="108" w:after="108" w:line="240" w:lineRule="auto"/>
      <w:widowControl w:val="off"/>
      <w:outlineLvl w:val="0"/>
    </w:pPr>
    <w:rPr>
      <w:rFonts w:ascii="Cambria" w:hAnsi="Cambria" w:eastAsia="Times New Roman"/>
      <w:b/>
      <w:bCs/>
      <w:sz w:val="32"/>
      <w:szCs w:val="32"/>
      <w:lang w:val="en-US" w:eastAsia="en-US"/>
    </w:rPr>
  </w:style>
  <w:style w:type="character" w:styleId="868">
    <w:name w:val="Основной шрифт абзаца"/>
    <w:next w:val="868"/>
    <w:link w:val="866"/>
    <w:uiPriority w:val="1"/>
    <w:semiHidden/>
    <w:unhideWhenUsed/>
  </w:style>
  <w:style w:type="table" w:styleId="869">
    <w:name w:val="Обычная таблица"/>
    <w:next w:val="869"/>
    <w:link w:val="866"/>
    <w:uiPriority w:val="99"/>
    <w:semiHidden/>
    <w:unhideWhenUsed/>
    <w:qFormat/>
    <w:tblPr/>
  </w:style>
  <w:style w:type="numbering" w:styleId="870">
    <w:name w:val="Нет списка"/>
    <w:next w:val="870"/>
    <w:link w:val="866"/>
    <w:uiPriority w:val="99"/>
    <w:semiHidden/>
    <w:unhideWhenUsed/>
  </w:style>
  <w:style w:type="table" w:styleId="871">
    <w:name w:val="Стиль1"/>
    <w:basedOn w:val="869"/>
    <w:next w:val="871"/>
    <w:link w:val="866"/>
    <w:uiPriority w:val="99"/>
    <w:pPr>
      <w:spacing w:after="0" w:line="240" w:lineRule="auto"/>
    </w:pPr>
    <w:rPr>
      <w:rFonts w:ascii="Times New Roman" w:hAnsi="Times New Roman"/>
      <w:sz w:val="24"/>
    </w:rPr>
    <w:tblPr/>
  </w:style>
  <w:style w:type="paragraph" w:styleId="872">
    <w:name w:val="ConsPlusNormal"/>
    <w:next w:val="872"/>
    <w:link w:val="866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73">
    <w:name w:val="Текст выноски Знак"/>
    <w:next w:val="873"/>
    <w:link w:val="87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74">
    <w:name w:val="Текст выноски"/>
    <w:basedOn w:val="866"/>
    <w:next w:val="874"/>
    <w:link w:val="873"/>
    <w:uiPriority w:val="99"/>
    <w:semiHidden/>
    <w:unhideWhenUsed/>
    <w:pPr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paragraph" w:styleId="875">
    <w:name w:val="ConsPlusTitle"/>
    <w:next w:val="875"/>
    <w:link w:val="866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876">
    <w:name w:val="formattext"/>
    <w:basedOn w:val="866"/>
    <w:next w:val="876"/>
    <w:link w:val="866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7">
    <w:name w:val="ConsPlusNonformat"/>
    <w:next w:val="877"/>
    <w:link w:val="866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78">
    <w:name w:val="Сетка таблицы"/>
    <w:basedOn w:val="869"/>
    <w:next w:val="878"/>
    <w:link w:val="866"/>
    <w:uiPriority w:val="39"/>
    <w:tblPr/>
  </w:style>
  <w:style w:type="character" w:styleId="879">
    <w:name w:val="Заголовок 1 Знак"/>
    <w:next w:val="879"/>
    <w:link w:val="867"/>
    <w:uiPriority w:val="9"/>
    <w:rPr>
      <w:rFonts w:ascii="Cambria" w:hAnsi="Cambria" w:eastAsia="Times New Roman"/>
      <w:b/>
      <w:bCs/>
      <w:sz w:val="32"/>
      <w:szCs w:val="32"/>
      <w:lang w:val="en-US" w:eastAsia="en-US"/>
    </w:rPr>
  </w:style>
  <w:style w:type="character" w:styleId="880">
    <w:name w:val="Цветовое выделение"/>
    <w:next w:val="880"/>
    <w:link w:val="866"/>
    <w:uiPriority w:val="99"/>
    <w:rPr>
      <w:b/>
      <w:bCs/>
      <w:color w:val="26282f"/>
    </w:rPr>
  </w:style>
  <w:style w:type="character" w:styleId="881">
    <w:name w:val="Гипертекстовая ссылка"/>
    <w:next w:val="881"/>
    <w:link w:val="866"/>
    <w:uiPriority w:val="99"/>
    <w:rPr>
      <w:b/>
      <w:bCs/>
      <w:color w:val="106bbe"/>
    </w:rPr>
  </w:style>
  <w:style w:type="paragraph" w:styleId="882">
    <w:name w:val="Прижатый влево"/>
    <w:basedOn w:val="866"/>
    <w:next w:val="866"/>
    <w:link w:val="866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883">
    <w:name w:val="ConsPlusCell"/>
    <w:next w:val="883"/>
    <w:link w:val="866"/>
    <w:uiPriority w:val="99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884">
    <w:name w:val="Абзац списка"/>
    <w:basedOn w:val="866"/>
    <w:next w:val="884"/>
    <w:link w:val="866"/>
    <w:qFormat/>
    <w:pPr>
      <w:contextualSpacing/>
      <w:ind w:left="720"/>
    </w:pPr>
  </w:style>
  <w:style w:type="paragraph" w:styleId="885">
    <w:name w:val="Нормальный (таблица)"/>
    <w:basedOn w:val="866"/>
    <w:next w:val="866"/>
    <w:link w:val="866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886">
    <w:name w:val="Гиперссылка"/>
    <w:next w:val="886"/>
    <w:link w:val="866"/>
    <w:uiPriority w:val="99"/>
    <w:unhideWhenUsed/>
    <w:rPr>
      <w:color w:val="3498db"/>
      <w:u w:val="none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84</cp:revision>
  <dcterms:created xsi:type="dcterms:W3CDTF">2022-03-15T11:20:00Z</dcterms:created>
  <dcterms:modified xsi:type="dcterms:W3CDTF">2024-01-15T10:51:10Z</dcterms:modified>
  <cp:version>786432</cp:version>
</cp:coreProperties>
</file>