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ВЫТЕГОРСКОГО МУНИЦИПАЛЬНОГО РАЙОНА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00</w:t>
      </w:r>
      <w:r>
        <w:rPr>
          <w:rFonts w:ascii="Times New Roman" w:hAnsi="Times New Roman"/>
          <w:sz w:val="28"/>
          <w:szCs w:val="28"/>
        </w:rPr>
        <w:t xml:space="preserve">.11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  <w:tab/>
        <w:tab/>
        <w:tab/>
        <w:t xml:space="preserve">№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ind w:left="1416" w:firstLine="70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Вытегра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ind w:right="325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внесении изменений в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ую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«Совершенствование муниципального управления в Вытегорском муниципаль</w:t>
      </w:r>
      <w:r>
        <w:rPr>
          <w:rFonts w:ascii="Times New Roman" w:hAnsi="Times New Roman"/>
          <w:sz w:val="28"/>
          <w:szCs w:val="28"/>
        </w:rPr>
        <w:t xml:space="preserve">ном районе на 2021 – 2025 годы»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В связи с принятием решения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Представительного Собрания Вытегорского муниципального района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от 13 декабря 2023 года № 702 «О районном бюджете на 2024 год и плановый период 2025 и 2026 годов»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 (с последующими изменениями),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руководствуясь статьей 179 Бюджетного кодекса Российской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Федерации, в соответствии с постановлением Администрации Вытегорского муниципального района от 8 мая 2018 года № 586 «Об утверждении Порядка разработки, реализации и оценки эффективности реализации муниципальных программ Вытегорского муниципального района»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sz w:val="27"/>
          <w:szCs w:val="27"/>
        </w:rPr>
        <w:t xml:space="preserve">ПОСТАНОВЛЯЮ:</w:t>
      </w:r>
      <w:r>
        <w:rPr>
          <w:rFonts w:ascii="Times New Roman" w:hAnsi="Times New Roman" w:eastAsia="Times New Roman"/>
          <w:b/>
          <w:bCs/>
          <w:sz w:val="27"/>
          <w:szCs w:val="27"/>
        </w:rPr>
      </w:r>
      <w:r>
        <w:rPr>
          <w:rFonts w:ascii="Times New Roman" w:hAnsi="Times New Roman" w:eastAsia="Times New Roman"/>
          <w:b/>
          <w:bCs/>
          <w:sz w:val="27"/>
          <w:szCs w:val="27"/>
        </w:rPr>
      </w:r>
    </w:p>
    <w:p>
      <w:pPr>
        <w:pStyle w:val="87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м</w:t>
      </w:r>
      <w:r>
        <w:rPr>
          <w:rFonts w:ascii="Times New Roman" w:hAnsi="Times New Roman"/>
          <w:sz w:val="28"/>
          <w:szCs w:val="28"/>
        </w:rPr>
        <w:t xml:space="preserve">униципальную программу «</w:t>
      </w:r>
      <w:r>
        <w:rPr>
          <w:rFonts w:ascii="Times New Roman" w:hAnsi="Times New Roman"/>
          <w:sz w:val="28"/>
          <w:szCs w:val="28"/>
        </w:rPr>
        <w:t xml:space="preserve">Совершенствование муниципального управления в Вытегорском муниципальном районе на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Вытегорского муниципального района от 1 апреля 2019 года </w:t>
      </w:r>
      <w:r>
        <w:rPr>
          <w:rFonts w:ascii="Times New Roman" w:hAnsi="Times New Roman"/>
          <w:sz w:val="28"/>
          <w:szCs w:val="28"/>
        </w:rPr>
        <w:t xml:space="preserve">№ 346</w:t>
      </w:r>
      <w:r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позиции «Объем финансового обеспечения программы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паспорта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цифры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«315547,8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заменить цифрами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316338,6»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слова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2024 году – 68473,0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словами «в 2024 году – 69263,8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78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разделе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цифры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«315547,8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заменить цифрами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316338,6»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слова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2024 году – 68473,0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словами «в 2024 году – 69263,8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78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риложение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 изложить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новой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редакции согласно приложению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к настоящему постановлению;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7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4) в позиции «Объем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финансового обеспечения подпрограммы 1» паспорта подпрограммы 1 цифры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150983,1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заменить цифрами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151773,9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слова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«2024 год – 33077,5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заменить словами «2024 год – 33868,3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7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5) в разделе 4 подпрограммы 1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цифры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«150983,1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заменить цифрами «151773,9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слова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«2024 год – 33077,5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заменить словами «2024 год – 33868,3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7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6) приложение 3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подпрограмме 1 изложить в новой редакции согласно приложению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pStyle w:val="87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Администрации района</w:t>
        <w:tab/>
        <w:tab/>
        <w:tab/>
        <w:t xml:space="preserve">        Ю.Н. Жаворонков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8"/>
        <w:rPr>
          <w:lang w:eastAsia="en-US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00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11.202</w:t>
      </w:r>
      <w:r>
        <w:rPr>
          <w:rFonts w:ascii="Times New Roman" w:hAnsi="Times New Roman"/>
          <w:sz w:val="28"/>
          <w:szCs w:val="28"/>
        </w:rPr>
        <w:t xml:space="preserve">4 №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«Совершенствование муниципального управления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Вытегорско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 xml:space="preserve">районе </w:t>
      </w:r>
      <w:r>
        <w:rPr>
          <w:rFonts w:ascii="Times New Roman" w:hAnsi="Times New Roman"/>
          <w:sz w:val="28"/>
          <w:szCs w:val="28"/>
        </w:rPr>
        <w:t xml:space="preserve">на 20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-202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center"/>
        <w:spacing w:after="0" w:line="240" w:lineRule="auto"/>
        <w:rPr>
          <w:rFonts w:ascii="Times New Roman" w:hAnsi="Times New Roman"/>
          <w:b/>
          <w:caps/>
          <w:sz w:val="24"/>
          <w:szCs w:val="24"/>
        </w:rPr>
        <w:outlineLvl w:val="2"/>
      </w:pPr>
      <w:r>
        <w:rPr>
          <w:rFonts w:ascii="Times New Roman" w:hAnsi="Times New Roman"/>
          <w:b/>
          <w:caps/>
          <w:sz w:val="24"/>
          <w:szCs w:val="24"/>
        </w:rPr>
        <w:t xml:space="preserve">Финансовое обеспечение</w:t>
      </w:r>
      <w:r>
        <w:rPr>
          <w:rFonts w:ascii="Times New Roman" w:hAnsi="Times New Roman"/>
          <w:b/>
          <w:caps/>
          <w:sz w:val="24"/>
          <w:szCs w:val="24"/>
        </w:rPr>
      </w:r>
      <w:r>
        <w:rPr>
          <w:rFonts w:ascii="Times New Roman" w:hAnsi="Times New Roman"/>
          <w:b/>
          <w:caps/>
          <w:sz w:val="24"/>
          <w:szCs w:val="24"/>
        </w:rPr>
      </w:r>
    </w:p>
    <w:p>
      <w:pPr>
        <w:pStyle w:val="878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за счет средств районного бюджета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8"/>
        <w:gridCol w:w="2833"/>
        <w:gridCol w:w="2271"/>
        <w:gridCol w:w="1377"/>
        <w:gridCol w:w="1817"/>
        <w:gridCol w:w="936"/>
        <w:gridCol w:w="936"/>
        <w:gridCol w:w="936"/>
        <w:gridCol w:w="936"/>
        <w:gridCol w:w="936"/>
      </w:tblGrid>
      <w:tr>
        <w:tblPrEx/>
        <w:trPr/>
        <w:tc>
          <w:tcPr>
            <w:tcW w:w="180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Статус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Наименование программы,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основного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мероприятия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исполнитель,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участник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Целевой показатель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Источник финансового обеспечения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gridSpan w:val="5"/>
            <w:tcW w:w="468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Расходы (тыс. руб.)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2021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2022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2023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2024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2025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blPrEx/>
        <w:trPr/>
        <w:tc>
          <w:tcPr>
            <w:tcW w:w="180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3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137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4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7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8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9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10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Программа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Совершенствование муниципального управления в Вытегорском муниципальном района на 2021-2025 годы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итого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Х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53374,3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60730,8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69137,6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23fc0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69263,8</w:t>
            </w:r>
            <w:r>
              <w:rPr>
                <w:rFonts w:ascii="Times New Roman" w:hAnsi="Times New Roman"/>
                <w:color w:val="23fc0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23fc0f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63832,1</w:t>
            </w:r>
            <w:r>
              <w:rPr>
                <w:rFonts w:ascii="Times New Roman" w:hAnsi="Times New Roman"/>
                <w:color w:val="23fc0f" w:themeColor="text1"/>
              </w:rPr>
            </w:r>
            <w:r>
              <w:rPr>
                <w:rFonts w:ascii="Times New Roman" w:hAnsi="Times New Roman"/>
                <w:color w:val="23fc0f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43039,9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48651,3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58186,9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23fc0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55830,2</w:t>
            </w:r>
            <w:r>
              <w:rPr>
                <w:rFonts w:ascii="Times New Roman" w:hAnsi="Times New Roman"/>
                <w:color w:val="23fc0f" w:themeColor="text1"/>
              </w:rPr>
            </w:r>
            <w:r>
              <w:rPr>
                <w:rFonts w:ascii="Times New Roman" w:hAnsi="Times New Roman"/>
                <w:color w:val="23fc0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23fc0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52838,0</w:t>
            </w:r>
            <w:r>
              <w:rPr>
                <w:rFonts w:ascii="Times New Roman" w:hAnsi="Times New Roman"/>
                <w:color w:val="23fc0f" w:themeColor="text1"/>
              </w:rPr>
            </w:r>
            <w:r>
              <w:rPr>
                <w:rFonts w:ascii="Times New Roman" w:hAnsi="Times New Roman"/>
                <w:color w:val="23fc0f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9077,3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11140,2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9973,8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12430,7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9991,2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поселений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1257,1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tabs>
                <w:tab w:val="center" w:pos="362" w:leader="none"/>
              </w:tabs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939,3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976,9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1002,9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1002,9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1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Совершенствование муниципальной службы в Вытегорском муниципальном районе на 2021-2025 годы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Управление делами, </w:t>
            </w:r>
            <w:r>
              <w:rPr>
                <w:rFonts w:ascii="Times New Roman" w:hAnsi="Times New Roman"/>
                <w:lang w:eastAsia="ru-RU"/>
              </w:rPr>
              <w:t xml:space="preserve">Управление ЖКХ, транспорта и строительства</w:t>
            </w:r>
            <w:r>
              <w:rPr>
                <w:rFonts w:ascii="Times New Roman" w:hAnsi="Times New Roman"/>
                <w:lang w:eastAsia="ru-RU"/>
              </w:rPr>
              <w:t xml:space="preserve"> Администрации Вытегорского муниципального района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27106,9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28681,3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31474,8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ff77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33868,3</w:t>
            </w:r>
            <w:r>
              <w:rPr>
                <w:rFonts w:ascii="Times New Roman" w:hAnsi="Times New Roman"/>
                <w:color w:val="ff77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30642,6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24099,2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25935,6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28654,6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ff77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31007,0</w:t>
            </w:r>
            <w:r>
              <w:rPr>
                <w:rFonts w:ascii="Times New Roman" w:hAnsi="Times New Roman"/>
                <w:color w:val="ff77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27779,0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1750,6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1806,4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1843,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1858,4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1860,7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поселений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1257,1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939,3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976,9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1002,9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1002,9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2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Противодействие коррупции в Вытегорском муниципальном районе на 2021 - 2025 годы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Правовое управление 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3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Информатизация органов местного самоуправления Вытегорского муниципального района на 2021-2025 годы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МКУ «МФЦ»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ОМСУ района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2000,00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21586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2791,7</w:t>
            </w:r>
            <w:r>
              <w:rPr>
                <w:rFonts w:ascii="Times New Roman" w:hAnsi="Times New Roman"/>
                <w:color w:val="215868" w:themeColor="text1"/>
              </w:rPr>
            </w:r>
            <w:r>
              <w:rPr>
                <w:rFonts w:ascii="Times New Roman" w:hAnsi="Times New Roman"/>
                <w:color w:val="215868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ff33cc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5057,9</w:t>
            </w:r>
            <w:r>
              <w:rPr>
                <w:rFonts w:ascii="Times New Roman" w:hAnsi="Times New Roman"/>
                <w:color w:val="ff33cc" w:themeColor="text1"/>
              </w:rPr>
            </w:r>
            <w:r>
              <w:rPr>
                <w:rFonts w:ascii="Times New Roman" w:hAnsi="Times New Roman"/>
                <w:color w:val="ff33cc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23fc0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2535,1</w:t>
            </w:r>
            <w:r>
              <w:rPr>
                <w:rFonts w:ascii="Times New Roman" w:hAnsi="Times New Roman"/>
                <w:color w:val="23fc0f" w:themeColor="text1"/>
              </w:rPr>
            </w:r>
            <w:r>
              <w:rPr>
                <w:rFonts w:ascii="Times New Roman" w:hAnsi="Times New Roman"/>
                <w:color w:val="23fc0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2600,0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2000,00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21586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2791,7</w:t>
            </w:r>
            <w:r>
              <w:rPr>
                <w:rFonts w:ascii="Times New Roman" w:hAnsi="Times New Roman"/>
                <w:color w:val="215868" w:themeColor="text1"/>
              </w:rPr>
            </w:r>
            <w:r>
              <w:rPr>
                <w:rFonts w:ascii="Times New Roman" w:hAnsi="Times New Roman"/>
                <w:color w:val="215868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ff33cc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5057,9</w:t>
            </w:r>
            <w:r>
              <w:rPr>
                <w:rFonts w:ascii="Times New Roman" w:hAnsi="Times New Roman"/>
                <w:color w:val="ff33cc" w:themeColor="text1"/>
              </w:rPr>
            </w:r>
            <w:r>
              <w:rPr>
                <w:rFonts w:ascii="Times New Roman" w:hAnsi="Times New Roman"/>
                <w:color w:val="ff33cc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23fc0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2535,1</w:t>
            </w:r>
            <w:r>
              <w:rPr>
                <w:rFonts w:ascii="Times New Roman" w:hAnsi="Times New Roman"/>
                <w:color w:val="23fc0f" w:themeColor="text1"/>
              </w:rPr>
            </w:r>
            <w:r>
              <w:rPr>
                <w:rFonts w:ascii="Times New Roman" w:hAnsi="Times New Roman"/>
                <w:color w:val="23fc0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2600,0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4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Снижение административных барьеров, повышение качества и доступности государственных и муниципальных услуг, оказываемых на базе </w:t>
            </w:r>
            <w:r>
              <w:rPr>
                <w:rFonts w:ascii="Times New Roman" w:hAnsi="Times New Roman"/>
                <w:lang w:eastAsia="en-US"/>
              </w:rPr>
              <w:t xml:space="preserve">МКУ «МФЦ»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МКУ «МФЦ»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24267,4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29257,8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32604,9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32860,4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30589,5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16940,7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19924,0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24474,4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23fc0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22288,1</w:t>
            </w:r>
            <w:r>
              <w:rPr>
                <w:rFonts w:ascii="Times New Roman" w:hAnsi="Times New Roman"/>
                <w:color w:val="23fc0f" w:themeColor="text1"/>
              </w:rPr>
            </w:r>
            <w:r>
              <w:rPr>
                <w:rFonts w:ascii="Times New Roman" w:hAnsi="Times New Roman"/>
                <w:color w:val="23fc0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23fc0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22459,0</w:t>
            </w:r>
            <w:r>
              <w:rPr>
                <w:rFonts w:ascii="Times New Roman" w:hAnsi="Times New Roman"/>
                <w:color w:val="23fc0f" w:themeColor="text1"/>
              </w:rPr>
            </w:r>
            <w:r>
              <w:rPr>
                <w:rFonts w:ascii="Times New Roman" w:hAnsi="Times New Roman"/>
                <w:color w:val="23fc0f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7326,7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9333,8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ff00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8130,5</w:t>
            </w:r>
            <w:r>
              <w:rPr>
                <w:rFonts w:ascii="Times New Roman" w:hAnsi="Times New Roman"/>
                <w:color w:val="ff00ff" w:themeColor="text1"/>
              </w:rPr>
            </w:r>
            <w:r>
              <w:rPr>
                <w:rFonts w:ascii="Times New Roman" w:hAnsi="Times New Roman"/>
                <w:color w:val="ff00f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23fc0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10572,3</w:t>
            </w:r>
            <w:r>
              <w:rPr>
                <w:rFonts w:ascii="Times New Roman" w:hAnsi="Times New Roman"/>
                <w:color w:val="23fc0f" w:themeColor="text1"/>
              </w:rPr>
            </w:r>
            <w:r>
              <w:rPr>
                <w:rFonts w:ascii="Times New Roman" w:hAnsi="Times New Roman"/>
                <w:color w:val="23fc0f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8130,5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pStyle w:val="878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».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78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878"/>
        <w:rPr>
          <w:lang w:eastAsia="en-US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20" w:equalWidth="1"/>
          <w:docGrid w:linePitch="360"/>
        </w:sect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00.</w:t>
      </w:r>
      <w:r>
        <w:rPr>
          <w:rFonts w:ascii="Times New Roman" w:hAnsi="Times New Roman"/>
          <w:sz w:val="28"/>
          <w:szCs w:val="28"/>
        </w:rPr>
        <w:t xml:space="preserve">11.202</w:t>
      </w:r>
      <w:r>
        <w:rPr>
          <w:rFonts w:ascii="Times New Roman" w:hAnsi="Times New Roman"/>
          <w:sz w:val="28"/>
          <w:szCs w:val="28"/>
        </w:rPr>
        <w:t xml:space="preserve">4 №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</w:t>
      </w:r>
      <w:r>
        <w:rPr>
          <w:rFonts w:ascii="Times New Roman" w:hAnsi="Times New Roman"/>
          <w:sz w:val="28"/>
          <w:szCs w:val="28"/>
        </w:rPr>
        <w:t xml:space="preserve">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center"/>
        <w:spacing w:after="0" w:line="240" w:lineRule="auto"/>
        <w:rPr>
          <w:rFonts w:ascii="Times New Roman" w:hAnsi="Times New Roman"/>
          <w:b/>
          <w:caps/>
          <w:sz w:val="24"/>
          <w:szCs w:val="24"/>
        </w:rPr>
        <w:outlineLvl w:val="2"/>
      </w:pPr>
      <w:r>
        <w:rPr>
          <w:rFonts w:ascii="Times New Roman" w:hAnsi="Times New Roman"/>
          <w:b/>
          <w:caps/>
          <w:sz w:val="24"/>
          <w:szCs w:val="24"/>
        </w:rPr>
        <w:t xml:space="preserve">Финансовое обеспечение</w:t>
      </w:r>
      <w:r>
        <w:rPr>
          <w:rFonts w:ascii="Times New Roman" w:hAnsi="Times New Roman"/>
          <w:b/>
          <w:caps/>
          <w:sz w:val="24"/>
          <w:szCs w:val="24"/>
        </w:rPr>
      </w:r>
      <w:r>
        <w:rPr>
          <w:rFonts w:ascii="Times New Roman" w:hAnsi="Times New Roman"/>
          <w:b/>
          <w:caps/>
          <w:sz w:val="24"/>
          <w:szCs w:val="24"/>
        </w:rPr>
      </w:r>
    </w:p>
    <w:p>
      <w:pPr>
        <w:pStyle w:val="87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</w:t>
      </w:r>
      <w:r>
        <w:rPr>
          <w:rFonts w:ascii="Times New Roman" w:hAnsi="Times New Roman"/>
          <w:b/>
          <w:sz w:val="28"/>
          <w:szCs w:val="28"/>
        </w:rPr>
        <w:t xml:space="preserve">рограммы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 xml:space="preserve"> за счет средств районного бюджета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9"/>
        <w:gridCol w:w="2666"/>
        <w:gridCol w:w="2211"/>
        <w:gridCol w:w="1412"/>
        <w:gridCol w:w="1988"/>
        <w:gridCol w:w="940"/>
        <w:gridCol w:w="940"/>
        <w:gridCol w:w="940"/>
        <w:gridCol w:w="940"/>
        <w:gridCol w:w="940"/>
      </w:tblGrid>
      <w:tr>
        <w:tblPrEx/>
        <w:trPr/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Статус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Наименование программы,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основного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мероприятия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исполнитель,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участник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Целевой показатель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Источник финансового обеспечения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gridSpan w:val="5"/>
            <w:tcW w:w="470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Расходы (тыс. руб.)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2021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2022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2023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2024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2025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blPrEx/>
        <w:trPr/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266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221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3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141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4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7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8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9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10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1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Совершенствование муниципальной службы в Вытегорском муниципальном районе на 2021-2025 годы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Управление делами, </w:t>
            </w:r>
            <w:r>
              <w:rPr>
                <w:rFonts w:ascii="Times New Roman" w:hAnsi="Times New Roman"/>
                <w:lang w:eastAsia="ru-RU"/>
              </w:rPr>
              <w:t xml:space="preserve">Управление ЖКХ, транспорта и строительства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Х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27106,9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28681,3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31474,8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23fc0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33868,3</w:t>
            </w:r>
            <w:r>
              <w:rPr>
                <w:rFonts w:ascii="Times New Roman" w:hAnsi="Times New Roman"/>
                <w:color w:val="23fc0f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30642,6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24099,2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25935,6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28654,6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23fc0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31007,0</w:t>
            </w:r>
            <w:r>
              <w:rPr>
                <w:rFonts w:ascii="Times New Roman" w:hAnsi="Times New Roman"/>
                <w:color w:val="23fc0f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27779,0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1750,6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1806,4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1843,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1858,4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1860,7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поселений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1257,1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939,3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976,9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1002,9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1002,9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Основное мероприятие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деятельности органов местного самоуправления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Управление делами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Управление ЖКХ, транспорта и строительства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1,2,3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27106,9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28681,3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31474,8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23fc0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33868,3</w:t>
            </w:r>
            <w:r>
              <w:rPr>
                <w:rFonts w:ascii="Times New Roman" w:hAnsi="Times New Roman"/>
                <w:color w:val="23fc0f" w:themeColor="text1"/>
              </w:rPr>
            </w:r>
            <w:r>
              <w:rPr>
                <w:rFonts w:ascii="Times New Roman" w:hAnsi="Times New Roman"/>
                <w:color w:val="23fc0f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30642,6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24099,2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25935,6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28654,6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23fc0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31007,0</w:t>
            </w:r>
            <w:r>
              <w:rPr>
                <w:rFonts w:ascii="Times New Roman" w:hAnsi="Times New Roman"/>
                <w:color w:val="23fc0f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27779,0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1750,6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1806,4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1843,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1858,4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1860,7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поселений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1257,1</w:t>
            </w:r>
            <w:r>
              <w:rPr>
                <w:rFonts w:ascii="Times New Roman" w:hAnsi="Times New Roman"/>
                <w:color w:val="00b0f0" w:themeColor="text1"/>
              </w:rPr>
            </w:r>
            <w:r>
              <w:rPr>
                <w:rFonts w:ascii="Times New Roman" w:hAnsi="Times New Roman"/>
                <w:color w:val="00b0f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939,3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976,9</w:t>
            </w:r>
            <w:r>
              <w:rPr>
                <w:rFonts w:ascii="Times New Roman" w:hAnsi="Times New Roman"/>
                <w:color w:val="4f6228" w:themeColor="text1"/>
              </w:rPr>
            </w:r>
            <w:r>
              <w:rPr>
                <w:rFonts w:ascii="Times New Roman" w:hAnsi="Times New Roman"/>
                <w:color w:val="4f6228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1002,9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1002,9</w:t>
            </w:r>
            <w:r>
              <w:rPr>
                <w:rFonts w:ascii="Times New Roman" w:hAnsi="Times New Roman"/>
                <w:color w:val="001aff" w:themeColor="text1"/>
              </w:rPr>
            </w:r>
            <w:r>
              <w:rPr>
                <w:rFonts w:ascii="Times New Roman" w:hAnsi="Times New Roman"/>
                <w:color w:val="001aff" w:themeColor="text1"/>
              </w:rPr>
            </w:r>
          </w:p>
        </w:tc>
      </w:tr>
      <w:tr>
        <w:tblPrEx/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pStyle w:val="87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 CYR">
    <w:panose1 w:val="02000603000000000000"/>
  </w:font>
  <w:font w:name="Courier New">
    <w:panose1 w:val="020704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)"/>
      <w:lvlJc w:val="left"/>
      <w:pPr>
        <w:ind w:left="744" w:hanging="384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288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1"/>
      <w:numFmt w:val="decimal"/>
      <w:isLgl w:val="false"/>
      <w:suff w:val="tab"/>
      <w:lvlText w:val="%1)"/>
      <w:lvlJc w:val="left"/>
      <w:pPr>
        <w:ind w:left="744" w:hanging="384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4"/>
  </w:num>
  <w:num w:numId="5">
    <w:abstractNumId w:val="15"/>
  </w:num>
  <w:num w:numId="6">
    <w:abstractNumId w:val="0"/>
  </w:num>
  <w:num w:numId="7">
    <w:abstractNumId w:val="12"/>
  </w:num>
  <w:num w:numId="8">
    <w:abstractNumId w:val="4"/>
  </w:num>
  <w:num w:numId="9">
    <w:abstractNumId w:val="13"/>
  </w:num>
  <w:num w:numId="10">
    <w:abstractNumId w:val="6"/>
  </w:num>
  <w:num w:numId="11">
    <w:abstractNumId w:val="8"/>
  </w:num>
  <w:num w:numId="12">
    <w:abstractNumId w:val="2"/>
  </w:num>
  <w:num w:numId="13">
    <w:abstractNumId w:val="1"/>
  </w:num>
  <w:num w:numId="14">
    <w:abstractNumId w:val="7"/>
  </w:num>
  <w:num w:numId="15">
    <w:abstractNumId w:val="3"/>
  </w:num>
  <w:num w:numId="16">
    <w:abstractNumId w:val="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79">
    <w:name w:val="Заголовок 1"/>
    <w:basedOn w:val="878"/>
    <w:next w:val="878"/>
    <w:link w:val="891"/>
    <w:uiPriority w:val="9"/>
    <w:qFormat/>
    <w:pPr>
      <w:jc w:val="center"/>
      <w:spacing w:before="108" w:after="108" w:line="240" w:lineRule="auto"/>
      <w:widowControl w:val="off"/>
      <w:outlineLvl w:val="0"/>
    </w:pPr>
    <w:rPr>
      <w:rFonts w:ascii="Cambria" w:hAnsi="Cambria" w:eastAsia="Times New Roman"/>
      <w:b/>
      <w:bCs/>
      <w:sz w:val="32"/>
      <w:szCs w:val="32"/>
      <w:lang w:val="en-US" w:eastAsia="en-US"/>
    </w:rPr>
  </w:style>
  <w:style w:type="character" w:styleId="880">
    <w:name w:val="Основной шрифт абзаца"/>
    <w:next w:val="880"/>
    <w:link w:val="878"/>
    <w:uiPriority w:val="1"/>
    <w:semiHidden/>
    <w:unhideWhenUsed/>
  </w:style>
  <w:style w:type="table" w:styleId="881">
    <w:name w:val="Обычная таблица"/>
    <w:next w:val="881"/>
    <w:link w:val="878"/>
    <w:uiPriority w:val="99"/>
    <w:semiHidden/>
    <w:unhideWhenUsed/>
    <w:qFormat/>
    <w:tblPr/>
  </w:style>
  <w:style w:type="numbering" w:styleId="882">
    <w:name w:val="Нет списка"/>
    <w:next w:val="882"/>
    <w:link w:val="878"/>
    <w:uiPriority w:val="99"/>
    <w:semiHidden/>
    <w:unhideWhenUsed/>
  </w:style>
  <w:style w:type="table" w:styleId="883">
    <w:name w:val="Стиль1"/>
    <w:basedOn w:val="881"/>
    <w:next w:val="883"/>
    <w:link w:val="878"/>
    <w:uiPriority w:val="99"/>
    <w:pPr>
      <w:spacing w:after="0" w:line="240" w:lineRule="auto"/>
    </w:pPr>
    <w:rPr>
      <w:rFonts w:ascii="Times New Roman" w:hAnsi="Times New Roman"/>
      <w:sz w:val="24"/>
    </w:rPr>
    <w:tblPr/>
  </w:style>
  <w:style w:type="paragraph" w:styleId="884">
    <w:name w:val="ConsPlusNormal"/>
    <w:next w:val="884"/>
    <w:link w:val="878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85">
    <w:name w:val="Текст выноски Знак"/>
    <w:next w:val="885"/>
    <w:link w:val="88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6">
    <w:name w:val="Текст выноски"/>
    <w:basedOn w:val="878"/>
    <w:next w:val="886"/>
    <w:link w:val="885"/>
    <w:uiPriority w:val="99"/>
    <w:semiHidden/>
    <w:unhideWhenUsed/>
    <w:pPr>
      <w:spacing w:after="0" w:line="240" w:lineRule="auto"/>
    </w:pPr>
    <w:rPr>
      <w:rFonts w:ascii="Tahoma" w:hAnsi="Tahoma" w:eastAsia="Times New Roman"/>
      <w:sz w:val="16"/>
      <w:szCs w:val="16"/>
      <w:lang w:val="en-US" w:eastAsia="ru-RU"/>
    </w:rPr>
  </w:style>
  <w:style w:type="paragraph" w:styleId="887">
    <w:name w:val="ConsPlusTitle"/>
    <w:next w:val="887"/>
    <w:link w:val="878"/>
    <w:uiPriority w:val="99"/>
    <w:pPr>
      <w:widowControl w:val="off"/>
    </w:pPr>
    <w:rPr>
      <w:rFonts w:eastAsia="Times New Roman" w:cs="Calibri"/>
      <w:b/>
      <w:bCs/>
      <w:sz w:val="22"/>
      <w:szCs w:val="22"/>
      <w:lang w:val="ru-RU" w:eastAsia="ru-RU" w:bidi="ar-SA"/>
    </w:rPr>
  </w:style>
  <w:style w:type="paragraph" w:styleId="888">
    <w:name w:val="formattext"/>
    <w:basedOn w:val="878"/>
    <w:next w:val="888"/>
    <w:link w:val="87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9">
    <w:name w:val="ConsPlusNonformat"/>
    <w:next w:val="889"/>
    <w:link w:val="878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890">
    <w:name w:val="Сетка таблицы"/>
    <w:basedOn w:val="881"/>
    <w:next w:val="890"/>
    <w:link w:val="878"/>
    <w:uiPriority w:val="39"/>
    <w:tblPr/>
  </w:style>
  <w:style w:type="character" w:styleId="891">
    <w:name w:val="Заголовок 1 Знак"/>
    <w:next w:val="891"/>
    <w:link w:val="879"/>
    <w:uiPriority w:val="9"/>
    <w:rPr>
      <w:rFonts w:ascii="Cambria" w:hAnsi="Cambria" w:eastAsia="Times New Roman"/>
      <w:b/>
      <w:bCs/>
      <w:sz w:val="32"/>
      <w:szCs w:val="32"/>
      <w:lang w:val="en-US" w:eastAsia="en-US"/>
    </w:rPr>
  </w:style>
  <w:style w:type="character" w:styleId="892">
    <w:name w:val="Цветовое выделение"/>
    <w:next w:val="892"/>
    <w:link w:val="878"/>
    <w:uiPriority w:val="99"/>
    <w:rPr>
      <w:b/>
      <w:bCs/>
      <w:color w:val="26282f"/>
    </w:rPr>
  </w:style>
  <w:style w:type="character" w:styleId="893">
    <w:name w:val="Гипертекстовая ссылка"/>
    <w:next w:val="893"/>
    <w:link w:val="878"/>
    <w:uiPriority w:val="99"/>
    <w:rPr>
      <w:b/>
      <w:bCs/>
      <w:color w:val="106bbe"/>
    </w:rPr>
  </w:style>
  <w:style w:type="paragraph" w:styleId="894">
    <w:name w:val="Прижатый влево"/>
    <w:basedOn w:val="878"/>
    <w:next w:val="878"/>
    <w:link w:val="878"/>
    <w:uiPriority w:val="99"/>
    <w:pPr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895">
    <w:name w:val="ConsPlusCell"/>
    <w:next w:val="895"/>
    <w:link w:val="878"/>
    <w:uiPriority w:val="99"/>
    <w:pPr>
      <w:widowControl w:val="off"/>
    </w:pPr>
    <w:rPr>
      <w:rFonts w:eastAsia="Times New Roman" w:cs="Calibri"/>
      <w:sz w:val="22"/>
      <w:szCs w:val="22"/>
      <w:lang w:val="ru-RU" w:eastAsia="ru-RU" w:bidi="ar-SA"/>
    </w:rPr>
  </w:style>
  <w:style w:type="paragraph" w:styleId="896">
    <w:name w:val="Абзац списка"/>
    <w:basedOn w:val="878"/>
    <w:next w:val="896"/>
    <w:link w:val="878"/>
    <w:qFormat/>
    <w:pPr>
      <w:contextualSpacing/>
      <w:ind w:left="720"/>
    </w:pPr>
  </w:style>
  <w:style w:type="paragraph" w:styleId="897">
    <w:name w:val="Нормальный (таблица)"/>
    <w:basedOn w:val="878"/>
    <w:next w:val="878"/>
    <w:link w:val="878"/>
    <w:uiPriority w:val="99"/>
    <w:pPr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898">
    <w:name w:val="Гиперссылка"/>
    <w:next w:val="898"/>
    <w:link w:val="878"/>
    <w:uiPriority w:val="99"/>
    <w:unhideWhenUsed/>
    <w:rPr>
      <w:color w:val="3498db"/>
      <w:u w:val="none"/>
    </w:r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93</cp:revision>
  <dcterms:created xsi:type="dcterms:W3CDTF">2022-03-15T11:20:00Z</dcterms:created>
  <dcterms:modified xsi:type="dcterms:W3CDTF">2024-11-20T10:12:42Z</dcterms:modified>
  <cp:version>786432</cp:version>
</cp:coreProperties>
</file>