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ВЫТЕГОРСКОГО МУНИЦИПАЛЬНОГО РАЙОНА</w:t>
      </w:r>
      <w:r>
        <w:rPr>
          <w:sz w:val="28"/>
          <w:szCs w:val="28"/>
        </w:rPr>
      </w:r>
    </w:p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</w:p>
    <w:p>
      <w:pPr>
        <w:pStyle w:val="6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rPr>
          <w:sz w:val="28"/>
          <w:szCs w:val="28"/>
        </w:rPr>
      </w:pPr>
      <w:r>
        <w:rPr>
          <w:sz w:val="28"/>
          <w:szCs w:val="28"/>
        </w:rPr>
        <w:t xml:space="preserve">от                     </w:t>
      </w:r>
      <w:r>
        <w:rPr>
          <w:sz w:val="28"/>
          <w:szCs w:val="28"/>
        </w:rPr>
        <w:tab/>
        <w:tab/>
        <w:t xml:space="preserve">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</w:pPr>
      <w:r>
        <w:t xml:space="preserve">                                     </w:t>
      </w:r>
      <w:r>
        <w:t xml:space="preserve">  </w:t>
      </w:r>
      <w:r>
        <w:t xml:space="preserve"> </w:t>
      </w:r>
      <w:r>
        <w:t xml:space="preserve">г. Вытегра</w:t>
      </w:r>
      <w:r/>
    </w:p>
    <w:p>
      <w:pPr>
        <w:pStyle w:val="640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52"/>
        <w:ind w:left="80" w:right="3640"/>
        <w:jc w:val="left"/>
        <w:spacing w:after="529" w:line="317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Об утверждении Программы профилактики 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рисков причинения вреда (ущерба) охраняемым 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законом ценностям при 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осуществлении</w:t>
      </w:r>
      <w:r>
        <w:rPr>
          <w:spacing w:val="4"/>
          <w:sz w:val="28"/>
          <w:szCs w:val="28"/>
        </w:rPr>
        <w:t xml:space="preserve"> регионального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государственного экологического контроля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(надзора) на 2025</w:t>
      </w:r>
      <w:r>
        <w:rPr>
          <w:spacing w:val="4"/>
          <w:sz w:val="28"/>
          <w:szCs w:val="28"/>
        </w:rPr>
        <w:t xml:space="preserve"> год 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 соответствии со статьей </w:t>
      </w:r>
      <w:r>
        <w:rPr>
          <w:spacing w:val="4"/>
          <w:sz w:val="28"/>
          <w:szCs w:val="28"/>
        </w:rPr>
        <w:t xml:space="preserve">44 Федерального закона от 31 июля </w:t>
      </w:r>
      <w:r>
        <w:rPr>
          <w:spacing w:val="4"/>
          <w:sz w:val="28"/>
          <w:szCs w:val="28"/>
        </w:rPr>
        <w:t xml:space="preserve">2020</w:t>
      </w:r>
      <w:r>
        <w:rPr>
          <w:spacing w:val="4"/>
          <w:sz w:val="28"/>
          <w:szCs w:val="28"/>
        </w:rPr>
        <w:t xml:space="preserve"> года</w:t>
      </w:r>
      <w:r>
        <w:rPr>
          <w:spacing w:val="4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</w:t>
      </w:r>
      <w:r>
        <w:rPr>
          <w:spacing w:val="4"/>
          <w:sz w:val="28"/>
          <w:szCs w:val="28"/>
        </w:rPr>
        <w:t xml:space="preserve">ем</w:t>
      </w:r>
      <w:r>
        <w:rPr>
          <w:spacing w:val="4"/>
          <w:sz w:val="28"/>
          <w:szCs w:val="28"/>
        </w:rPr>
        <w:t xml:space="preserve"> Правительств</w:t>
      </w:r>
      <w:r>
        <w:rPr>
          <w:spacing w:val="4"/>
          <w:sz w:val="28"/>
          <w:szCs w:val="28"/>
        </w:rPr>
        <w:t xml:space="preserve">а Российской Федерации от 25 июня </w:t>
      </w:r>
      <w:r>
        <w:rPr>
          <w:spacing w:val="4"/>
          <w:sz w:val="28"/>
          <w:szCs w:val="28"/>
        </w:rPr>
        <w:t xml:space="preserve">2021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г</w:t>
      </w:r>
      <w:r>
        <w:rPr>
          <w:spacing w:val="4"/>
          <w:sz w:val="28"/>
          <w:szCs w:val="28"/>
        </w:rPr>
        <w:t xml:space="preserve">ода</w:t>
      </w:r>
      <w:r>
        <w:rPr>
          <w:spacing w:val="4"/>
          <w:sz w:val="28"/>
          <w:szCs w:val="28"/>
        </w:rPr>
        <w:t xml:space="preserve"> №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990 «Об утверждении П</w:t>
      </w:r>
      <w:r>
        <w:rPr>
          <w:spacing w:val="4"/>
          <w:sz w:val="28"/>
          <w:szCs w:val="28"/>
        </w:rPr>
        <w:t xml:space="preserve">равил разработки и утверждения конт</w:t>
      </w:r>
      <w:r>
        <w:rPr>
          <w:spacing w:val="4"/>
          <w:sz w:val="28"/>
          <w:szCs w:val="28"/>
        </w:rPr>
        <w:t xml:space="preserve">рольными (надзорными) органами п</w:t>
      </w:r>
      <w:r>
        <w:rPr>
          <w:spacing w:val="4"/>
          <w:sz w:val="28"/>
          <w:szCs w:val="28"/>
        </w:rPr>
        <w:t xml:space="preserve">рограммы профилактики рисков причинения вреда (ущерба) охраняемым законом ценностям»,</w:t>
      </w:r>
      <w:r>
        <w:rPr>
          <w:spacing w:val="4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 xml:space="preserve">ПОСТАНОВЛЯЮ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 Утвердить </w:t>
      </w:r>
      <w:r>
        <w:rPr>
          <w:spacing w:val="4"/>
          <w:sz w:val="28"/>
          <w:szCs w:val="28"/>
        </w:rPr>
        <w:t xml:space="preserve">прилагаемую </w:t>
      </w:r>
      <w:r>
        <w:rPr>
          <w:spacing w:val="4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</w:t>
      </w:r>
      <w:r>
        <w:rPr>
          <w:spacing w:val="4"/>
          <w:sz w:val="28"/>
          <w:szCs w:val="28"/>
        </w:rPr>
        <w:t xml:space="preserve">осуществлении</w:t>
      </w:r>
      <w:r>
        <w:rPr>
          <w:spacing w:val="4"/>
          <w:sz w:val="28"/>
          <w:szCs w:val="28"/>
        </w:rPr>
        <w:t xml:space="preserve"> регионального государственного экологиче</w:t>
      </w:r>
      <w:r>
        <w:rPr>
          <w:spacing w:val="4"/>
          <w:sz w:val="28"/>
          <w:szCs w:val="28"/>
        </w:rPr>
        <w:t xml:space="preserve">ского контроля (надзора) на 202</w:t>
      </w:r>
      <w:r>
        <w:rPr>
          <w:spacing w:val="4"/>
          <w:sz w:val="28"/>
          <w:szCs w:val="28"/>
        </w:rPr>
        <w:t xml:space="preserve">5 год.</w:t>
      </w:r>
      <w:r>
        <w:rPr>
          <w:spacing w:val="4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2</w:t>
      </w:r>
      <w:r>
        <w:rPr>
          <w:spacing w:val="4"/>
          <w:sz w:val="28"/>
          <w:szCs w:val="28"/>
        </w:rPr>
        <w:t xml:space="preserve">. Настоящее постановление подлежит размещению на официальном сайте </w:t>
      </w:r>
      <w:r>
        <w:rPr>
          <w:spacing w:val="4"/>
          <w:sz w:val="28"/>
          <w:szCs w:val="28"/>
        </w:rPr>
        <w:t xml:space="preserve">Вытегорского </w:t>
      </w:r>
      <w:r>
        <w:rPr>
          <w:spacing w:val="4"/>
          <w:sz w:val="28"/>
          <w:szCs w:val="28"/>
        </w:rPr>
        <w:t xml:space="preserve">муниципального района в информаци</w:t>
      </w:r>
      <w:r>
        <w:rPr>
          <w:spacing w:val="4"/>
          <w:sz w:val="28"/>
          <w:szCs w:val="28"/>
        </w:rPr>
        <w:t xml:space="preserve">онно-телекоммуникационной сети «</w:t>
      </w:r>
      <w:r>
        <w:rPr>
          <w:spacing w:val="4"/>
          <w:sz w:val="28"/>
          <w:szCs w:val="28"/>
        </w:rPr>
        <w:t xml:space="preserve">Интернет» и</w:t>
      </w:r>
      <w:r>
        <w:rPr>
          <w:spacing w:val="4"/>
          <w:sz w:val="28"/>
          <w:szCs w:val="28"/>
        </w:rPr>
        <w:t xml:space="preserve"> вступает в силу с 1 января 202</w:t>
      </w:r>
      <w:r>
        <w:rPr>
          <w:spacing w:val="4"/>
          <w:sz w:val="28"/>
          <w:szCs w:val="28"/>
        </w:rPr>
        <w:t xml:space="preserve">5 года.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both"/>
        <w:tabs>
          <w:tab w:val="left" w:pos="71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both"/>
        <w:tabs>
          <w:tab w:val="left" w:pos="71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района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Ю.Н. Жаворонков</w:t>
      </w:r>
      <w:r>
        <w:rPr>
          <w:b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УТВЕРЖДЕНА</w:t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постановлени</w:t>
      </w:r>
      <w:r>
        <w:rPr>
          <w:spacing w:val="4"/>
          <w:sz w:val="28"/>
          <w:szCs w:val="28"/>
        </w:rPr>
        <w:t xml:space="preserve">ем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администрации района</w:t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от_________№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right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640"/>
        <w:jc w:val="center"/>
        <w:spacing w:after="2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</w:t>
      </w:r>
      <w:r>
        <w:rPr>
          <w:b/>
          <w:color w:val="000000"/>
          <w:sz w:val="28"/>
          <w:szCs w:val="28"/>
        </w:rPr>
      </w:r>
    </w:p>
    <w:p>
      <w:pPr>
        <w:pStyle w:val="640"/>
        <w:jc w:val="center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рофилактики рисков причинения вреда (ущерба) охраняемым законом ценностям при </w:t>
      </w:r>
      <w:r>
        <w:rPr>
          <w:color w:val="000000"/>
          <w:sz w:val="28"/>
          <w:szCs w:val="28"/>
        </w:rPr>
        <w:t xml:space="preserve">осуществлении</w:t>
      </w:r>
      <w:r>
        <w:rPr>
          <w:color w:val="000000"/>
          <w:sz w:val="28"/>
          <w:szCs w:val="28"/>
        </w:rPr>
        <w:t xml:space="preserve"> регионального государственного экологиче</w:t>
      </w:r>
      <w:r>
        <w:rPr>
          <w:color w:val="000000"/>
          <w:sz w:val="28"/>
          <w:szCs w:val="28"/>
        </w:rPr>
        <w:t xml:space="preserve">ского контроля (надзора) на 202</w:t>
      </w:r>
      <w:r>
        <w:rPr>
          <w:color w:val="000000"/>
          <w:sz w:val="28"/>
          <w:szCs w:val="28"/>
        </w:rPr>
        <w:t xml:space="preserve">5 год </w:t>
      </w:r>
      <w:r>
        <w:rPr>
          <w:color w:val="000000"/>
          <w:sz w:val="28"/>
          <w:szCs w:val="28"/>
        </w:rPr>
      </w:r>
    </w:p>
    <w:p>
      <w:pPr>
        <w:pStyle w:val="640"/>
        <w:numPr>
          <w:ilvl w:val="0"/>
          <w:numId w:val="8"/>
        </w:numPr>
        <w:ind w:left="0" w:right="600"/>
        <w:jc w:val="center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Общие положения</w:t>
      </w:r>
      <w:r>
        <w:rPr>
          <w:b/>
          <w:color w:val="000000"/>
          <w:sz w:val="28"/>
          <w:szCs w:val="28"/>
        </w:rPr>
      </w:r>
    </w:p>
    <w:p>
      <w:pPr>
        <w:pStyle w:val="640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регионального государственного экологического контро</w:t>
      </w:r>
      <w:r>
        <w:rPr>
          <w:color w:val="000000"/>
          <w:sz w:val="28"/>
          <w:szCs w:val="28"/>
        </w:rPr>
        <w:t xml:space="preserve">ля (надзора) (далее — Программа), разработана в целях предотвращения риска причинения вреда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в целях реализации положений: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статьи </w:t>
      </w:r>
      <w:r>
        <w:rPr>
          <w:color w:val="000000"/>
          <w:sz w:val="28"/>
          <w:szCs w:val="28"/>
        </w:rPr>
        <w:t xml:space="preserve">44 Федерального закона от 31 июля </w:t>
      </w:r>
      <w:r>
        <w:rPr>
          <w:color w:val="000000"/>
          <w:sz w:val="28"/>
          <w:szCs w:val="28"/>
        </w:rPr>
        <w:t xml:space="preserve">2020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248-ФЗ «О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осударственном  контроле (надзоре) и муниципальном контроле в Российской Федерации»;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постановления Правительства</w:t>
      </w:r>
      <w:r>
        <w:rPr>
          <w:color w:val="000000"/>
          <w:sz w:val="28"/>
          <w:szCs w:val="28"/>
        </w:rPr>
        <w:t xml:space="preserve"> Российской Федерации  от 25 июня </w:t>
      </w:r>
      <w:r>
        <w:rPr>
          <w:color w:val="000000"/>
          <w:sz w:val="28"/>
          <w:szCs w:val="28"/>
        </w:rPr>
        <w:t xml:space="preserve">2021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ода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990 «Об утвержде</w:t>
      </w:r>
      <w:r>
        <w:rPr>
          <w:color w:val="000000"/>
          <w:sz w:val="28"/>
          <w:szCs w:val="28"/>
        </w:rPr>
        <w:t xml:space="preserve">нии П</w:t>
      </w:r>
      <w:r>
        <w:rPr>
          <w:color w:val="000000"/>
          <w:sz w:val="28"/>
          <w:szCs w:val="28"/>
        </w:rPr>
        <w:t xml:space="preserve">равил разработки и утверждения конт</w:t>
      </w:r>
      <w:r>
        <w:rPr>
          <w:color w:val="000000"/>
          <w:sz w:val="28"/>
          <w:szCs w:val="28"/>
        </w:rPr>
        <w:t xml:space="preserve">рольными (надзорными) органами п</w:t>
      </w:r>
      <w:r>
        <w:rPr>
          <w:color w:val="000000"/>
          <w:sz w:val="28"/>
          <w:szCs w:val="28"/>
        </w:rPr>
        <w:t xml:space="preserve">рограммы профилактики рисков причинения вреда (ущерба) охраняемым законом ценностям».</w:t>
      </w:r>
      <w:r>
        <w:rPr>
          <w:color w:val="000000"/>
          <w:sz w:val="28"/>
          <w:szCs w:val="28"/>
        </w:rPr>
      </w:r>
    </w:p>
    <w:p>
      <w:pPr>
        <w:pStyle w:val="640"/>
        <w:ind w:right="600"/>
        <w:jc w:val="center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.Цели Программы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0"/>
        <w:ind w:right="600"/>
        <w:jc w:val="center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Целями проведения профилактических мероприятий являются: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color w:val="000000"/>
          <w:sz w:val="28"/>
          <w:szCs w:val="28"/>
        </w:rPr>
      </w:r>
    </w:p>
    <w:p>
      <w:pPr>
        <w:pStyle w:val="640"/>
        <w:jc w:val="center"/>
        <w:spacing w:after="2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Задачи </w:t>
      </w:r>
      <w:r>
        <w:rPr>
          <w:b/>
          <w:color w:val="000000"/>
          <w:sz w:val="28"/>
          <w:szCs w:val="28"/>
        </w:rPr>
        <w:t xml:space="preserve">реализации </w:t>
      </w:r>
      <w:r>
        <w:rPr>
          <w:b/>
          <w:color w:val="000000"/>
          <w:sz w:val="28"/>
          <w:szCs w:val="28"/>
        </w:rPr>
        <w:t xml:space="preserve">Программы</w:t>
      </w:r>
      <w:r>
        <w:rPr>
          <w:b/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профилактических мероприятий позволит решить следующие задачи: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</w:t>
      </w:r>
      <w:r>
        <w:rPr>
          <w:color w:val="000000"/>
          <w:sz w:val="28"/>
          <w:szCs w:val="28"/>
        </w:rPr>
        <w:t xml:space="preserve"> контролируемых лиц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инвентаризация состава и особенностей </w:t>
      </w:r>
      <w:r>
        <w:rPr>
          <w:color w:val="000000"/>
          <w:sz w:val="28"/>
          <w:szCs w:val="28"/>
        </w:rPr>
        <w:t xml:space="preserve">контролируемых лиц </w:t>
      </w:r>
      <w:r>
        <w:rPr>
          <w:color w:val="000000"/>
          <w:sz w:val="28"/>
          <w:szCs w:val="28"/>
        </w:rPr>
        <w:t xml:space="preserve">и оценки состояния подконтрольной сферы;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</w:t>
      </w:r>
      <w:r>
        <w:rPr>
          <w:color w:val="000000"/>
          <w:sz w:val="28"/>
          <w:szCs w:val="28"/>
        </w:rPr>
        <w:t xml:space="preserve"> контролируемых лиц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right="600"/>
        <w:jc w:val="center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 xml:space="preserve">Анализ текущего состояния подконтрольной сферы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0"/>
        <w:ind w:right="600"/>
        <w:jc w:val="center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 государственный экологический контроль (надзор) осуществляется в соответствии с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аконом </w:t>
      </w:r>
      <w:r>
        <w:rPr>
          <w:color w:val="000000"/>
          <w:sz w:val="28"/>
          <w:szCs w:val="28"/>
        </w:rPr>
        <w:t xml:space="preserve">Вологодской области от 28 июня </w:t>
      </w:r>
      <w:r>
        <w:rPr>
          <w:color w:val="000000"/>
          <w:sz w:val="28"/>
          <w:szCs w:val="28"/>
        </w:rPr>
        <w:t xml:space="preserve">2006 года №1465-ОЗ «О наделении органов местного самоуправления отдельными государственными полномочиями</w:t>
      </w:r>
      <w:r>
        <w:rPr>
          <w:color w:val="000000"/>
          <w:sz w:val="28"/>
          <w:szCs w:val="28"/>
        </w:rPr>
        <w:t xml:space="preserve"> в сфере охраны окружающей среды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Нормативными</w:t>
      </w:r>
      <w:r>
        <w:rPr>
          <w:color w:val="000000"/>
          <w:sz w:val="28"/>
          <w:szCs w:val="28"/>
        </w:rPr>
        <w:t xml:space="preserve"> правовыми актами, непосредственно регулирующими</w:t>
      </w:r>
      <w:r>
        <w:rPr>
          <w:color w:val="000000"/>
          <w:sz w:val="28"/>
          <w:szCs w:val="28"/>
        </w:rPr>
        <w:t xml:space="preserve"> осуществление государственного экологического контроля (надзора)</w:t>
      </w:r>
      <w:r>
        <w:rPr>
          <w:color w:val="000000"/>
          <w:sz w:val="28"/>
          <w:szCs w:val="28"/>
        </w:rPr>
        <w:t xml:space="preserve">, являются: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"consultantplus://offline/ref=35D5E16C2385AA33BDDCCC68C7DD9627026F8608BB3CF70433A171wFV0L"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Конституция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Российской Федерации;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"consultantplus://offline/ref=35D5E16C2385AA33BDDCCC68C7DD962702678905B26CA00662F47FF5E6w2V8L"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Российской Федерации об административных правонарушениях;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"consultantplus://offline/ref=35D5E16C2385AA33BDDCCC68C7DD96270267800CB56BA00662F47FF5E6w2V8L"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от 10 января 2002 № 7-ФЗ «Об охране окружающей среды»;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июня 1998 года № 89-ФЗ «Об отходах производства и потребления»;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4 мая 1999 года № 96-ФЗ «Об охране атмосферного воздуха»;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23 ноября 1995 года № 174-ФЗ «Об экологической экспертизе»;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"consultantplus://offline/ref=35D5E16C2385AA33BDDCCC68C7DD9627016F890EB562A00662F47FF5E62858D3E663B2D34BF922FDwCV6L"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от 02 мая 2006 № 59-ФЗ «О порядке рассмотрения обращений граждан Российской Федерации»;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Водный кодекс Российской Федерации;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27 июля 2006 года № 149-ФЗ «Об информации, информационных технологиях и о защите информации»;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7 декабря 2011 года № 416-ФЗ «О водоснабжении и водоотведении»;</w:t>
      </w:r>
      <w:r>
        <w:rPr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</w:t>
      </w:r>
      <w:r>
        <w:rPr>
          <w:color w:val="000000"/>
          <w:sz w:val="28"/>
          <w:szCs w:val="28"/>
        </w:rPr>
        <w:t xml:space="preserve">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</w:t>
      </w:r>
      <w:r>
        <w:rPr>
          <w:color w:val="000000"/>
          <w:sz w:val="28"/>
          <w:szCs w:val="28"/>
        </w:rPr>
        <w:t xml:space="preserve">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</w:t>
      </w:r>
      <w:r>
        <w:rPr>
          <w:color w:val="000000"/>
          <w:sz w:val="28"/>
          <w:szCs w:val="28"/>
        </w:rPr>
        <w:t xml:space="preserve">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</w:t>
      </w:r>
      <w:r>
        <w:rPr>
          <w:color w:val="000000"/>
          <w:sz w:val="28"/>
          <w:szCs w:val="28"/>
        </w:rPr>
        <w:t xml:space="preserve">ескому контролю (надзору));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технический регламент Таможенного союза «О требованиях к смазочным материалам, маслам и специальным жидкостям»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нормативные правовые акты Российской Федерации и Вологодской области.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Субъектами государственного экологического контроля (надзора) яв</w:t>
      </w:r>
      <w:r>
        <w:rPr>
          <w:color w:val="000000"/>
          <w:sz w:val="28"/>
          <w:szCs w:val="28"/>
        </w:rPr>
        <w:t xml:space="preserve">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(надзору)).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 государственный экологический (контроль) надзор проводится на объектах, подлежащих региональному государственному экологическому надзору.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нарушения, выявленные при проведении проверок соблюдения природоохранного законодательства: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нарушение требований водоохранного законодательства;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невнесение или несвоевременное внесение платы за негативное воздействие на окружающую среду;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несвоевременное предоставление декларации по плате за негативное воздействие на окружающую среду;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Вытегорского муниципального </w:t>
      </w:r>
      <w:r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(далее – Администрация района) </w:t>
      </w:r>
      <w:r>
        <w:rPr>
          <w:color w:val="000000"/>
          <w:sz w:val="28"/>
          <w:szCs w:val="28"/>
        </w:rPr>
        <w:t xml:space="preserve">осуществляет мероприятия по профилактике нарушений обязательных требований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right="600"/>
        <w:jc w:val="center"/>
        <w:spacing w:after="200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. План мероприятий по профилактике причинения вреда (ущерба) охраняемым законом ценностям при </w:t>
      </w:r>
      <w:r>
        <w:rPr>
          <w:b/>
          <w:color w:val="000000"/>
          <w:sz w:val="28"/>
          <w:szCs w:val="28"/>
        </w:rPr>
        <w:t xml:space="preserve">осуществлении</w:t>
      </w:r>
      <w:r>
        <w:rPr>
          <w:b/>
          <w:color w:val="000000"/>
          <w:sz w:val="28"/>
          <w:szCs w:val="28"/>
        </w:rPr>
        <w:t xml:space="preserve"> регионального государственного экологического контроля (надзора)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3087"/>
        <w:gridCol w:w="2394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мероприятий, направленных на профилактику нарушений обязательных требований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  проведения  мероприятий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Ответственное лицо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перечень нормативных правовых актов, содержащих обязательные требования, оценка соблюдения которых является предметом  надзора,  и разместить на официальном сайте </w:t>
            </w:r>
            <w:r>
              <w:rPr>
                <w:sz w:val="28"/>
                <w:szCs w:val="28"/>
              </w:rPr>
              <w:t xml:space="preserve">Вытегорского </w:t>
            </w:r>
            <w:r>
              <w:rPr>
                <w:sz w:val="28"/>
                <w:szCs w:val="28"/>
              </w:rPr>
              <w:t xml:space="preserve">муниципального района в </w:t>
            </w:r>
            <w:r>
              <w:rPr>
                <w:sz w:val="28"/>
                <w:szCs w:val="28"/>
              </w:rPr>
              <w:t xml:space="preserve"> информационно-телекоммуникационной сети</w:t>
            </w:r>
            <w:r>
              <w:rPr>
                <w:sz w:val="28"/>
                <w:szCs w:val="28"/>
              </w:rPr>
              <w:t xml:space="preserve"> «Интернет»</w:t>
            </w:r>
            <w:r>
              <w:rPr>
                <w:sz w:val="28"/>
                <w:szCs w:val="28"/>
              </w:rPr>
              <w:t xml:space="preserve"> (далее – официальный сайт района)</w:t>
            </w:r>
            <w:r>
              <w:rPr>
                <w:sz w:val="28"/>
                <w:szCs w:val="28"/>
              </w:rPr>
              <w:t xml:space="preserve"> актуализированный перечень нормативных правовых актов, содержащих обязательные требования, оценка соблюдения которых является предметом  надзора.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случае изменения  законодательства)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и разместить на официальном сайте района в сети «Интернет» разъяснения требований законодательства, в том числе в обл</w:t>
            </w:r>
            <w:r>
              <w:rPr>
                <w:sz w:val="28"/>
                <w:szCs w:val="28"/>
              </w:rPr>
              <w:t xml:space="preserve">асти регионального государственного экологического контроля (надзора), комментарии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случае изменения законодательства)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случае изменения законодательства)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  проведение семинаров, вебинаров, совещаний, заседаний рабочих групп, «горячей  линии», дней открытых дверей, прием граждан, информирование через средства массовой информации и иных мероприятий по информированию юридических лиц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индивидуальных предпринимателей</w:t>
            </w:r>
            <w:r>
              <w:rPr>
                <w:sz w:val="28"/>
                <w:szCs w:val="28"/>
              </w:rPr>
              <w:t xml:space="preserve"> и граждан</w:t>
            </w:r>
            <w:r>
              <w:rPr>
                <w:sz w:val="28"/>
                <w:szCs w:val="28"/>
              </w:rPr>
              <w:t xml:space="preserve"> 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(надзора).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</w:t>
            </w:r>
            <w:r>
              <w:rPr>
                <w:sz w:val="28"/>
                <w:szCs w:val="28"/>
              </w:rPr>
              <w:t xml:space="preserve"> необходимости</w:t>
            </w:r>
            <w:r>
              <w:rPr>
                <w:sz w:val="28"/>
                <w:szCs w:val="28"/>
              </w:rPr>
              <w:t xml:space="preserve"> проведения)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  и проведение публичных обсуждений результатов правоприменительной практики для </w:t>
            </w:r>
            <w:r>
              <w:rPr>
                <w:sz w:val="28"/>
                <w:szCs w:val="28"/>
              </w:rPr>
              <w:t xml:space="preserve">подконтрольных лиц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полгода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0"/>
        </w:trPr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доклада о правоприменительной 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  сайте района  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информации о проводимых проверках и их результатах в ФГИС «Единый реестр контрольно-надзорных мероприятий»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проведения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</w:t>
            </w:r>
            <w:r>
              <w:rPr>
                <w:sz w:val="28"/>
                <w:szCs w:val="28"/>
              </w:rPr>
              <w:t xml:space="preserve">предостережений о недопустимости нарушения обязательных требований  в соответствии со  ст. 49 Федерального </w:t>
            </w:r>
            <w:r>
              <w:rPr>
                <w:sz w:val="28"/>
                <w:szCs w:val="28"/>
              </w:rPr>
              <w:t xml:space="preserve">закона от 31.07.2020 № 248-ФЗ «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осударственном 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необходимости, при наличии оснований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профилактических визитов </w:t>
            </w:r>
            <w:r>
              <w:rPr>
                <w:sz w:val="28"/>
                <w:szCs w:val="28"/>
              </w:rPr>
              <w:t xml:space="preserve">в отношении </w:t>
            </w:r>
            <w:r>
              <w:rPr>
                <w:sz w:val="28"/>
                <w:szCs w:val="28"/>
              </w:rPr>
              <w:t xml:space="preserve">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необходимости, при наличии оснований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>
              <w:rPr>
                <w:sz w:val="28"/>
                <w:szCs w:val="28"/>
              </w:rPr>
              <w:t xml:space="preserve"> по следующим вопросам: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следующим вопросам: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профилактика рисков нарушения обязательных требований;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соблюдение обязательных требований;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порядок осуществления регионального экологического контроля;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порядок обжалования решений контрольного (надзорного) органа.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необходимости, при наличии оснований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необходимости, при наличии оснований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8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</w:t>
            </w: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декабря 2025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711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и природопользования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0"/>
        <w:ind w:right="600"/>
        <w:jc w:val="center"/>
        <w:spacing w:after="200"/>
        <w:shd w:val="clear" w:color="auto" w:fill="ffffff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0"/>
        <w:jc w:val="center"/>
        <w:spacing w:after="2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Оценка эффективности Программы профилактики</w:t>
      </w:r>
      <w:r>
        <w:rPr>
          <w:b/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индикативных показателей эффективности надзора является проведение запланированных плановых проверок в полном объеме.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Показатели качества профилактических мероприятий направлены на: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 xml:space="preserve">улучшение состояния подконтрольной среды (повышение уровня законопослушности, повышение качества поступающей информации);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 xml:space="preserve">снижение количества нарушений обязательных требований;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 xml:space="preserve">снижение количества фактов причинения вреда окружающей среде.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</w:t>
      </w:r>
      <w:r>
        <w:rPr>
          <w:color w:val="000000"/>
          <w:sz w:val="28"/>
          <w:szCs w:val="28"/>
        </w:rPr>
        <w:t xml:space="preserve">ности А</w:t>
      </w:r>
      <w:r>
        <w:rPr>
          <w:color w:val="000000"/>
          <w:sz w:val="28"/>
          <w:szCs w:val="28"/>
        </w:rPr>
        <w:t xml:space="preserve">дминистрации района.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Отчетные показате</w:t>
      </w:r>
      <w:r>
        <w:rPr>
          <w:color w:val="000000"/>
          <w:sz w:val="28"/>
          <w:szCs w:val="28"/>
        </w:rPr>
        <w:t xml:space="preserve">ли профилактических мероприятий.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4572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/</w:t>
            </w:r>
            <w:r>
              <w:rPr>
                <w:color w:val="000000"/>
                <w:sz w:val="28"/>
                <w:szCs w:val="28"/>
              </w:rPr>
              <w:t xml:space="preserve">п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показателя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bottom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Величина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Исполняемость плана </w:t>
            </w:r>
            <w:r>
              <w:rPr>
                <w:color w:val="000000"/>
                <w:sz w:val="28"/>
                <w:szCs w:val="28"/>
              </w:rPr>
              <w:t xml:space="preserve"> мероприятий по профилактике рисков причинения вреда  охраняемым законом ценностям вследствие нарушений обязательных требований законодательства,  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Объявление </w:t>
            </w:r>
            <w:r>
              <w:rPr>
                <w:color w:val="000000"/>
                <w:sz w:val="28"/>
                <w:szCs w:val="28"/>
              </w:rPr>
              <w:t xml:space="preserve">предостережений  о   недопустимости нарушения обязательных требований в случаях, предусмотренных законодательством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профилактических визитов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Консультирование контролируемых лиц и их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представителей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</w:t>
            </w:r>
            <w:r>
              <w:rPr>
                <w:color w:val="000000"/>
                <w:sz w:val="28"/>
                <w:szCs w:val="28"/>
              </w:rPr>
              <w:t xml:space="preserve">сайте </w:t>
            </w:r>
            <w:r>
              <w:rPr>
                <w:color w:val="000000"/>
                <w:sz w:val="28"/>
                <w:szCs w:val="28"/>
              </w:rPr>
              <w:t xml:space="preserve">района в соответствии с частью 3 статьи 46 Федерального закона от 31 июля 202</w:t>
            </w: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года</w:t>
            </w:r>
            <w:r>
              <w:rPr>
                <w:color w:val="000000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</w:t>
            </w:r>
            <w:r>
              <w:rPr>
                <w:color w:val="000000"/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4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72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семинаров, вебинаров, совещаний, заседаний рабочих групп, «горячей  линии», дней открытых дверей, прием граждан, информирование через средства ма</w:t>
            </w:r>
            <w:r>
              <w:rPr>
                <w:color w:val="000000"/>
                <w:sz w:val="28"/>
                <w:szCs w:val="28"/>
              </w:rPr>
              <w:t xml:space="preserve">ссовой информации и иных мероприятий по информированию юридических лиц и индивидуальных предпринимателей 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0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40"/>
        <w:ind w:firstLine="709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jc w:val="center"/>
        <w:spacing w:after="2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Ресурсное обеспечение Программы</w:t>
      </w:r>
      <w:r>
        <w:rPr>
          <w:b/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осуществляется за счет средств и ресурсов, выделяемых на основную деятельность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дминистрации района.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Дополнительных финансовых и иных ресурсов, необходимых для реализации Программы, не требуется.</w:t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профилактических мероприятий осуществляется в соответствии с планом-графиком профилактических мероприятий.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jc w:val="center"/>
        <w:spacing w:after="2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Механизм реализации Программы</w:t>
      </w:r>
      <w:r>
        <w:rPr>
          <w:b/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Ежегодные планы профилактических мероприятий формируются по результатам анализа соблюдения обязательных требований при осуществлении регионального государственного экологического контроля  (надзора).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Корректировка планов профилактических мероприятий при необходимости осуществляется ежеквартально не позднее 20 числа месяца квартала, следующего за отчетным.</w:t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pacing w:after="24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ответственных за организацию  и проведени</w:t>
      </w:r>
      <w:r>
        <w:rPr>
          <w:color w:val="000000"/>
          <w:sz w:val="28"/>
          <w:szCs w:val="28"/>
        </w:rPr>
        <w:t xml:space="preserve">е мероприятий Программы</w:t>
      </w:r>
      <w:r>
        <w:rPr>
          <w:color w:val="000000"/>
          <w:sz w:val="28"/>
          <w:szCs w:val="28"/>
        </w:rPr>
        <w:t xml:space="preserve"> представлен  в  плане мероприятий по профилактике причинения вреда</w:t>
      </w:r>
      <w:r>
        <w:rPr>
          <w:color w:val="000000"/>
          <w:sz w:val="28"/>
          <w:szCs w:val="28"/>
        </w:rPr>
        <w:t xml:space="preserve"> (ущерба)</w:t>
      </w:r>
      <w:r>
        <w:rPr>
          <w:color w:val="000000"/>
          <w:sz w:val="28"/>
          <w:szCs w:val="28"/>
        </w:rPr>
        <w:t xml:space="preserve">  охраняемым законом ценностям при </w:t>
      </w:r>
      <w:r>
        <w:rPr>
          <w:color w:val="000000"/>
          <w:sz w:val="28"/>
          <w:szCs w:val="28"/>
        </w:rPr>
        <w:t xml:space="preserve">осуществлении</w:t>
      </w:r>
      <w:r>
        <w:rPr>
          <w:color w:val="000000"/>
          <w:sz w:val="28"/>
          <w:szCs w:val="28"/>
        </w:rPr>
        <w:t xml:space="preserve"> регионального государственного экологического контроля (надзора)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0"/>
        <w:contextualSpacing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текущих результатах профилактической работы, готовящихся и состоявшихся профилактических мероприятиях, а также Программа размещаются в открытом доступе </w:t>
      </w:r>
      <w:r>
        <w:rPr>
          <w:color w:val="000000"/>
          <w:sz w:val="28"/>
          <w:szCs w:val="28"/>
        </w:rPr>
        <w:t xml:space="preserve">на официальном сайте района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sectPr>
      <w:footnotePr/>
      <w:endnotePr/>
      <w:type w:val="continuous"/>
      <w:pgSz w:w="11909" w:h="16834" w:orient="portrait"/>
      <w:pgMar w:top="1134" w:right="1703" w:bottom="1134" w:left="1701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pPr>
      <w:widowControl w:val="off"/>
    </w:pPr>
    <w:rPr>
      <w:lang w:val="ru-RU" w:eastAsia="ru-RU" w:bidi="ar-SA"/>
    </w:rPr>
  </w:style>
  <w:style w:type="character" w:styleId="641">
    <w:name w:val="Основной шрифт абзаца"/>
    <w:next w:val="641"/>
    <w:link w:val="640"/>
    <w:semiHidden/>
  </w:style>
  <w:style w:type="table" w:styleId="642">
    <w:name w:val="Обычная таблица"/>
    <w:next w:val="642"/>
    <w:link w:val="640"/>
    <w:semiHidden/>
    <w:tblPr/>
  </w:style>
  <w:style w:type="numbering" w:styleId="643">
    <w:name w:val="Нет списка"/>
    <w:next w:val="643"/>
    <w:link w:val="640"/>
    <w:semiHidden/>
  </w:style>
  <w:style w:type="paragraph" w:styleId="644">
    <w:name w:val="Верхний колонтитул"/>
    <w:basedOn w:val="640"/>
    <w:next w:val="644"/>
    <w:link w:val="640"/>
    <w:pPr>
      <w:tabs>
        <w:tab w:val="center" w:pos="4677" w:leader="none"/>
        <w:tab w:val="right" w:pos="9355" w:leader="none"/>
      </w:tabs>
    </w:pPr>
  </w:style>
  <w:style w:type="character" w:styleId="645">
    <w:name w:val="Номер страницы"/>
    <w:basedOn w:val="641"/>
    <w:next w:val="645"/>
    <w:link w:val="640"/>
  </w:style>
  <w:style w:type="paragraph" w:styleId="646">
    <w:name w:val="Текст выноски"/>
    <w:basedOn w:val="640"/>
    <w:next w:val="646"/>
    <w:link w:val="640"/>
    <w:semiHidden/>
    <w:rPr>
      <w:rFonts w:ascii="Tahoma" w:hAnsi="Tahoma" w:cs="Tahoma"/>
      <w:sz w:val="16"/>
      <w:szCs w:val="16"/>
    </w:rPr>
  </w:style>
  <w:style w:type="table" w:styleId="647">
    <w:name w:val="Сетка таблицы"/>
    <w:basedOn w:val="642"/>
    <w:next w:val="647"/>
    <w:link w:val="640"/>
    <w:pPr>
      <w:widowControl w:val="off"/>
    </w:pPr>
    <w:tblPr/>
  </w:style>
  <w:style w:type="paragraph" w:styleId="648">
    <w:name w:val="Без интервала"/>
    <w:next w:val="648"/>
    <w:link w:val="640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49">
    <w:name w:val="ConsPlusNormal"/>
    <w:next w:val="649"/>
    <w:link w:val="640"/>
    <w:pPr>
      <w:widowControl w:val="off"/>
    </w:pPr>
    <w:rPr>
      <w:sz w:val="28"/>
      <w:lang w:val="ru-RU" w:eastAsia="ar-SA" w:bidi="ar-SA"/>
    </w:rPr>
  </w:style>
  <w:style w:type="paragraph" w:styleId="650">
    <w:name w:val="ConsPlusTitle"/>
    <w:next w:val="650"/>
    <w:link w:val="640"/>
    <w:pPr>
      <w:widowControl w:val="off"/>
    </w:pPr>
    <w:rPr>
      <w:b/>
      <w:sz w:val="28"/>
      <w:lang w:val="ru-RU" w:eastAsia="ar-SA" w:bidi="ar-SA"/>
    </w:rPr>
  </w:style>
  <w:style w:type="character" w:styleId="651">
    <w:name w:val="Основной текст_"/>
    <w:basedOn w:val="641"/>
    <w:next w:val="651"/>
    <w:link w:val="652"/>
    <w:rPr>
      <w:spacing w:val="5"/>
      <w:shd w:val="clear" w:color="auto" w:fill="ffffff"/>
    </w:rPr>
  </w:style>
  <w:style w:type="paragraph" w:styleId="652">
    <w:name w:val="Основной текст1"/>
    <w:basedOn w:val="640"/>
    <w:next w:val="652"/>
    <w:link w:val="651"/>
    <w:pPr>
      <w:jc w:val="center"/>
      <w:spacing w:after="420" w:line="0" w:lineRule="atLeast"/>
      <w:shd w:val="clear" w:color="auto" w:fill="ffffff"/>
    </w:pPr>
    <w:rPr>
      <w:spacing w:val="5"/>
    </w:rPr>
  </w:style>
  <w:style w:type="character" w:styleId="2235" w:default="1">
    <w:name w:val="Default Paragraph Font"/>
    <w:uiPriority w:val="1"/>
    <w:semiHidden/>
    <w:unhideWhenUsed/>
  </w:style>
  <w:style w:type="numbering" w:styleId="2236" w:default="1">
    <w:name w:val="No List"/>
    <w:uiPriority w:val="99"/>
    <w:semiHidden/>
    <w:unhideWhenUsed/>
  </w:style>
  <w:style w:type="table" w:styleId="22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Вытегорского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Бибилова</dc:creator>
  <cp:revision>3</cp:revision>
  <dcterms:created xsi:type="dcterms:W3CDTF">2023-10-03T09:03:00Z</dcterms:created>
  <dcterms:modified xsi:type="dcterms:W3CDTF">2024-12-19T06:43:24Z</dcterms:modified>
  <cp:version>786432</cp:version>
</cp:coreProperties>
</file>