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  <w:r>
        <w:rPr>
          <w:b/>
          <w:color w:val="0d0d0d" w:themeColor="text1" w:themeTint="F2"/>
          <w:szCs w:val="28"/>
        </w:rPr>
        <w:t xml:space="preserve">Положение о </w:t>
      </w:r>
      <w:r>
        <w:rPr>
          <w:b/>
          <w:color w:val="0d0d0d" w:themeColor="text1" w:themeTint="F2"/>
          <w:szCs w:val="28"/>
        </w:rPr>
        <w:t xml:space="preserve">конкурсе «Финансовая грамотность </w:t>
      </w:r>
    </w:p>
    <w:p>
      <w:pPr>
        <w:jc w:val="center"/>
        <w:rPr>
          <w:b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глазами </w:t>
      </w:r>
      <w:r>
        <w:rPr>
          <w:b/>
          <w:color w:val="0d0d0d" w:themeColor="text1" w:themeTint="F2"/>
          <w:szCs w:val="28"/>
        </w:rPr>
        <w:t xml:space="preserve">молодежи</w:t>
      </w:r>
      <w:r>
        <w:rPr>
          <w:b/>
          <w:color w:val="0d0d0d" w:themeColor="text1" w:themeTint="F2"/>
          <w:szCs w:val="28"/>
        </w:rPr>
        <w:t xml:space="preserve">»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1. Общие положения.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1.1. </w:t>
      </w:r>
      <w:r>
        <w:rPr>
          <w:color w:val="0d0d0d" w:themeColor="text1" w:themeTint="F2"/>
          <w:szCs w:val="28"/>
        </w:rPr>
        <w:tab/>
        <w:t xml:space="preserve">Настоящее Положение определяет порядок организации и проведения конкурса </w:t>
      </w:r>
      <w:r>
        <w:rPr>
          <w:color w:val="0d0d0d" w:themeColor="text1" w:themeTint="F2"/>
          <w:szCs w:val="28"/>
        </w:rPr>
        <w:t xml:space="preserve">«Финансовая г</w:t>
      </w:r>
      <w:r>
        <w:rPr>
          <w:color w:val="0d0d0d" w:themeColor="text1" w:themeTint="F2"/>
          <w:szCs w:val="28"/>
        </w:rPr>
        <w:t xml:space="preserve">рамотность глазами молодежи</w:t>
      </w:r>
      <w:r>
        <w:rPr>
          <w:color w:val="0d0d0d" w:themeColor="text1" w:themeTint="F2"/>
          <w:szCs w:val="28"/>
        </w:rPr>
        <w:t xml:space="preserve">» </w:t>
      </w:r>
      <w:r>
        <w:rPr>
          <w:color w:val="0d0d0d" w:themeColor="text1" w:themeTint="F2"/>
          <w:szCs w:val="28"/>
        </w:rPr>
        <w:t xml:space="preserve">(далее - Конкурс).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1.2.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Организатором Конкурса выступает Департамент финансов области (далее - Департамент).</w:t>
      </w:r>
    </w:p>
    <w:p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1.3. </w:t>
      </w:r>
      <w:r>
        <w:rPr>
          <w:color w:val="0d0d0d" w:themeColor="text1" w:themeTint="F2"/>
          <w:szCs w:val="28"/>
        </w:rPr>
        <w:tab/>
        <w:t xml:space="preserve">Цель проведения Конкурса - стимулирование </w:t>
      </w:r>
      <w:r>
        <w:rPr>
          <w:color w:val="0d0d0d" w:themeColor="text1" w:themeTint="F2"/>
          <w:szCs w:val="28"/>
        </w:rPr>
        <w:t xml:space="preserve">молодежи </w:t>
      </w:r>
      <w:r>
        <w:rPr>
          <w:color w:val="0d0d0d" w:themeColor="text1" w:themeTint="F2"/>
          <w:szCs w:val="28"/>
        </w:rPr>
        <w:t xml:space="preserve">к повышению финансовой грамотности и поощрение творческой инициативы.</w:t>
      </w:r>
    </w:p>
    <w:p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1.4.</w:t>
      </w:r>
      <w:r>
        <w:rPr>
          <w:color w:val="0d0d0d" w:themeColor="text1" w:themeTint="F2"/>
          <w:szCs w:val="28"/>
        </w:rPr>
        <w:tab/>
        <w:t xml:space="preserve">Задачи Конкурса:</w:t>
      </w:r>
    </w:p>
    <w:p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- </w:t>
      </w:r>
      <w:r>
        <w:rPr>
          <w:color w:val="0d0d0d" w:themeColor="text1" w:themeTint="F2"/>
          <w:szCs w:val="28"/>
        </w:rPr>
        <w:t xml:space="preserve">формирование ответственного отношения к финансовому планированию и грамотному распоряжению личными финансами</w:t>
      </w:r>
      <w:r>
        <w:rPr>
          <w:color w:val="0d0d0d" w:themeColor="text1" w:themeTint="F2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развитие творческого потенциала участников Конкурса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популяризация темы финансовой грамотности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среди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молодежи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2. Условия участия в Конкурсах.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2.1. В Конкурсе могут принимать участие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лица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возрасте от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14 до 3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лет (далее – участники).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2.2. К участию в Конкурсе допускаются проекты, подготовленные одним автором единолично либо авторским коллективом в составе не более двух человек (далее - конкурсный проект).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2.3. Участник может представить для участия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каждой из номинаций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 более одного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проекта.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2.4. Конкурс проводится по четырем номинациям: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«Интервью с финансово-грамотным человеком»;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«Лучший очерк о финансовой организации»;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«Лучший очерк о финансисте»;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«Лучшая презентация «Семейная финансовая безопасность».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3. Требования к конкурсным проектам.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Конкурсный проект должен представлять собой актуальное исследование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темы конкурса,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содержать достоверные сведения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одержание проектов не должно противоречить законодательству Российской Федерации и Вологодской области. При разработке проекта участники Конкурса должны руководствоваться следующими критериями: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содержание проекта должно соответствовать тем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е конкурсного проекта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стиль изложения должен быть логичны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последовательны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грамотны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язык изложения должен быть точным и ясным для понимания, исключающим двойное толкование.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Языком Конкурса является русский язык – государственный язык Российской Федерации.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3.2. К участию в Конкурсе не допускаются проекты: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направленные с нарушением срока их представления;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в которых отсутствует полный пакет документов;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несоответствие конкурсного проекта требованиям, указанным в разделах 2, 3 настоящего Положения;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содержащие информацию, ранее опубликованную в средствах массовой информации, в информационно-телекоммуникационной сети «Интернет», а также материалы, содержащие плагиат, в том числе цитаты без ссылки на их автора.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Материалы на 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представляются участниками на бумажном носителе или в электронном виде: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3.3.1.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почтовым отправлением на адрес Департамента: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160000, г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Вологда,     ул. Герцена, д. 2;</w:t>
      </w:r>
    </w:p>
    <w:p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3.3.2. </w:t>
      </w:r>
      <w:r>
        <w:rPr>
          <w:color w:val="0d0d0d" w:themeColor="text1" w:themeTint="F2"/>
          <w:szCs w:val="28"/>
        </w:rPr>
        <w:tab/>
        <w:t xml:space="preserve">на адрес электронной почты: </w:t>
      </w:r>
      <w:hyperlink r:id="rId11" w:history="1">
        <w:r>
          <w:rPr>
            <w:rStyle w:val="af0"/>
            <w:color w:val="0d0d0d" w:themeColor="text1" w:themeTint="F2"/>
            <w:szCs w:val="28"/>
            <w:u w:val="none"/>
            <w:lang w:val="en-US"/>
          </w:rPr>
          <w:t xml:space="preserve">depfin</w:t>
        </w:r>
        <w:r>
          <w:rPr>
            <w:rStyle w:val="af0"/>
            <w:color w:val="0d0d0d" w:themeColor="text1" w:themeTint="F2"/>
            <w:szCs w:val="28"/>
            <w:u w:val="none"/>
          </w:rPr>
          <w:t xml:space="preserve">@</w:t>
        </w:r>
        <w:r>
          <w:rPr>
            <w:rStyle w:val="af0"/>
            <w:color w:val="0d0d0d" w:themeColor="text1" w:themeTint="F2"/>
            <w:szCs w:val="28"/>
            <w:u w:val="none"/>
            <w:lang w:val="en-US"/>
          </w:rPr>
          <w:t xml:space="preserve">df</w:t>
        </w:r>
        <w:r>
          <w:rPr>
            <w:rStyle w:val="af0"/>
            <w:color w:val="0d0d0d" w:themeColor="text1" w:themeTint="F2"/>
            <w:szCs w:val="28"/>
            <w:u w:val="none"/>
          </w:rPr>
          <w:t xml:space="preserve">.</w:t>
        </w:r>
        <w:r>
          <w:rPr>
            <w:rStyle w:val="af0"/>
            <w:color w:val="0d0d0d" w:themeColor="text1" w:themeTint="F2"/>
            <w:szCs w:val="28"/>
            <w:u w:val="none"/>
            <w:lang w:val="en-US"/>
          </w:rPr>
          <w:t xml:space="preserve">gov</w:t>
        </w:r>
        <w:r>
          <w:rPr>
            <w:rStyle w:val="af0"/>
            <w:color w:val="0d0d0d" w:themeColor="text1" w:themeTint="F2"/>
            <w:szCs w:val="28"/>
            <w:u w:val="none"/>
          </w:rPr>
          <w:t xml:space="preserve">35.</w:t>
        </w:r>
        <w:r>
          <w:rPr>
            <w:rStyle w:val="af0"/>
            <w:color w:val="0d0d0d" w:themeColor="text1" w:themeTint="F2"/>
            <w:szCs w:val="28"/>
            <w:u w:val="none"/>
            <w:lang w:val="en-US"/>
          </w:rPr>
          <w:t xml:space="preserve">ru</w:t>
        </w:r>
      </w:hyperlink>
      <w:r>
        <w:rPr>
          <w:color w:val="0d0d0d" w:themeColor="text1" w:themeTint="F2"/>
          <w:szCs w:val="28"/>
        </w:rPr>
        <w:t xml:space="preserve">. В теме сообщения указывается: Конкурс «</w:t>
      </w:r>
      <w:r>
        <w:rPr>
          <w:color w:val="0d0d0d" w:themeColor="text1" w:themeTint="F2"/>
          <w:szCs w:val="28"/>
        </w:rPr>
        <w:t xml:space="preserve">по финансовой грамотности</w:t>
      </w:r>
      <w:r>
        <w:rPr>
          <w:color w:val="0d0d0d" w:themeColor="text1" w:themeTint="F2"/>
          <w:szCs w:val="28"/>
        </w:rPr>
        <w:t xml:space="preserve">»</w:t>
      </w:r>
      <w:r>
        <w:rPr>
          <w:color w:val="0d0d0d" w:themeColor="text1" w:themeTint="F2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3.3.3. работы участников принимаются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8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апреля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 2024 года.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3.4. Расходы, связанные с участием в Конкурсе, оплачиваются участниками конкурса (законными представителями) самостоятельно.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3.5. К конкурсному проекту прилагается</w:t>
      </w:r>
      <w:r>
        <w:rPr>
          <w:color w:val="0d0d0d" w:themeColor="text1" w:themeTint="F2"/>
          <w:szCs w:val="28"/>
        </w:rPr>
        <w:t xml:space="preserve">: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- заявка согласно приложению 1 к настоящему Положению;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- согласие кандидатов, участвующих в Конкурсе, на обработку персональных данных, согласно приложению 2 к настоящему Положению;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- пояснительная аннотация, оформленная в соответствии с пунктами 3.7., 3.8. настоящего Положения.</w:t>
      </w:r>
    </w:p>
    <w:p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3.6. </w:t>
      </w:r>
      <w:r>
        <w:rPr>
          <w:color w:val="0d0d0d" w:themeColor="text1" w:themeTint="F2"/>
          <w:szCs w:val="28"/>
        </w:rPr>
        <w:t xml:space="preserve">Заявка на участие в Конкурсе и согласие на обработку персональных данных</w:t>
      </w:r>
      <w:r>
        <w:rPr>
          <w:color w:val="0d0d0d" w:themeColor="text1" w:themeTint="F2"/>
          <w:szCs w:val="28"/>
        </w:rPr>
        <w:t xml:space="preserve">, </w:t>
      </w:r>
      <w:r>
        <w:rPr>
          <w:color w:val="0d0d0d" w:themeColor="text1" w:themeTint="F2"/>
          <w:szCs w:val="28"/>
        </w:rPr>
        <w:t xml:space="preserve">подписанные</w:t>
      </w:r>
      <w:r>
        <w:rPr>
          <w:color w:val="0d0d0d" w:themeColor="text1" w:themeTint="F2"/>
          <w:szCs w:val="28"/>
        </w:rPr>
        <w:t xml:space="preserve"> участником конкурса или</w:t>
      </w:r>
      <w:r>
        <w:rPr>
          <w:color w:val="0d0d0d" w:themeColor="text1" w:themeTint="F2"/>
          <w:szCs w:val="28"/>
        </w:rPr>
        <w:t xml:space="preserve"> законным представителем ребенка,</w:t>
      </w:r>
      <w:r>
        <w:rPr>
          <w:color w:val="0d0d0d" w:themeColor="text1" w:themeTint="F2"/>
          <w:szCs w:val="28"/>
        </w:rPr>
        <w:t xml:space="preserve"> представля</w:t>
      </w:r>
      <w:r>
        <w:rPr>
          <w:color w:val="0d0d0d" w:themeColor="text1" w:themeTint="F2"/>
          <w:szCs w:val="28"/>
        </w:rPr>
        <w:t xml:space="preserve">ю</w:t>
      </w:r>
      <w:r>
        <w:rPr>
          <w:color w:val="0d0d0d" w:themeColor="text1" w:themeTint="F2"/>
          <w:szCs w:val="28"/>
        </w:rPr>
        <w:t xml:space="preserve">тся в формате </w:t>
      </w:r>
      <w:r>
        <w:rPr>
          <w:color w:val="0d0d0d" w:themeColor="text1" w:themeTint="F2"/>
          <w:szCs w:val="28"/>
          <w:lang w:val="en-US"/>
        </w:rPr>
        <w:t xml:space="preserve">PDF</w:t>
      </w:r>
      <w:r>
        <w:rPr>
          <w:color w:val="0d0d0d" w:themeColor="text1" w:themeTint="F2"/>
          <w:szCs w:val="28"/>
        </w:rPr>
        <w:t xml:space="preserve">.</w:t>
      </w:r>
      <w:r>
        <w:rPr>
          <w:color w:val="0d0d0d" w:themeColor="text1" w:themeTint="F2"/>
          <w:szCs w:val="28"/>
        </w:rPr>
        <w:t xml:space="preserve">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74"/>
      <w:bookmarkEnd w:id="1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3.7.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Пояснительная аннотация к конкурсному проекту должна иметь следующую структуру: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название проекта;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фамилия, имя, отчество автора (авторов) проекта без сокращений;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наименование образовательной организации;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обоснование актуальности проекта (его проблематика);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 и задачи проекта.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" w:name="Par81"/>
      <w:bookmarkEnd w:id="2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3.8.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Требования к оформлению пояснительной аннотации к конкурсному проекту: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пояснительная аннотация не должна превышать 10 страниц машинописного текста формата 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поля: слева 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 см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справа 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 см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сверху и снизу 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 см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печать через 1,5 междустрочного интервала, формат текста должен быть набран в текстовом редакторе с использованием открытых форматов файлов, в том числе: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docx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.»; размер шрифта - 14 пт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отступ первой строки –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1,25 см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</w:p>
    <w:p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4. Номинации Конкурса </w:t>
      </w:r>
    </w:p>
    <w:p>
      <w:pPr>
        <w:spacing w:line="360" w:lineRule="auto"/>
        <w:ind w:firstLine="579"/>
        <w:jc w:val="both"/>
        <w:rPr>
          <w:b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4.1.</w:t>
      </w:r>
      <w:r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 xml:space="preserve">«Интервью с финансово грамотным человеком»</w:t>
      </w:r>
      <w:r>
        <w:rPr>
          <w:b/>
          <w:color w:val="0d0d0d" w:themeColor="text1" w:themeTint="F2"/>
          <w:szCs w:val="28"/>
        </w:rPr>
        <w:t xml:space="preserve">.</w:t>
      </w:r>
    </w:p>
    <w:p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Интервью представляется в формате «вопрос-ответ»</w:t>
      </w:r>
      <w:r>
        <w:rPr>
          <w:color w:val="0d0d0d" w:themeColor="text1" w:themeTint="F2"/>
          <w:szCs w:val="28"/>
        </w:rPr>
        <w:t xml:space="preserve"> и должно содержать не более 10 вопросов, связанных между собой.</w:t>
      </w:r>
    </w:p>
    <w:p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Конкурсный проект должен быть оформлен в форме аудио, видеоролика продолжительностью 3-5 минут.</w:t>
      </w:r>
    </w:p>
    <w:p>
      <w:pPr>
        <w:spacing w:line="360" w:lineRule="auto"/>
        <w:ind w:firstLine="579"/>
        <w:jc w:val="both"/>
        <w:rPr>
          <w:b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4.2.</w:t>
      </w:r>
      <w:r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 xml:space="preserve">«Лучший очерк о финансовой организации»</w:t>
      </w:r>
      <w:r>
        <w:rPr>
          <w:b/>
          <w:color w:val="0d0d0d" w:themeColor="text1" w:themeTint="F2"/>
          <w:szCs w:val="28"/>
        </w:rPr>
        <w:t xml:space="preserve">.</w:t>
      </w:r>
    </w:p>
    <w:p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Очерк должен б</w:t>
      </w:r>
      <w:r>
        <w:rPr>
          <w:color w:val="0d0d0d" w:themeColor="text1" w:themeTint="F2"/>
          <w:szCs w:val="28"/>
        </w:rPr>
        <w:t xml:space="preserve">ыть оформлен в письменной форме и содержать информацию об одной или нескольких финансовых организациях – банке, страховой компании, негосударственном пенсионном фонде и других.</w:t>
      </w:r>
    </w:p>
    <w:p>
      <w:pPr>
        <w:spacing w:line="360" w:lineRule="auto"/>
        <w:ind w:firstLine="626"/>
        <w:jc w:val="both"/>
        <w:rPr>
          <w:b/>
          <w:i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4.3.</w:t>
      </w:r>
      <w:r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 xml:space="preserve">«Лучший очерк о финансисте»</w:t>
      </w:r>
      <w:r>
        <w:rPr>
          <w:b/>
          <w:i/>
          <w:color w:val="0d0d0d" w:themeColor="text1" w:themeTint="F2"/>
          <w:szCs w:val="28"/>
        </w:rPr>
        <w:t xml:space="preserve">.</w:t>
      </w:r>
    </w:p>
    <w:p>
      <w:pPr>
        <w:pStyle w:val="22"/>
        <w:spacing w:after="0" w:line="360" w:lineRule="auto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Очерк должен быть оформлен в письменной форме и содержать информацию об одном или нескольких финансистах – работников банков, страховых компаний, негосударственных пенсионных фондов, предпринимателей и других.</w:t>
      </w:r>
    </w:p>
    <w:p>
      <w:pPr>
        <w:spacing w:line="360" w:lineRule="auto"/>
        <w:ind w:firstLine="546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4.4.</w:t>
      </w:r>
      <w:r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 xml:space="preserve">«Лучшая презентация «Семейная финансовая безопасность».</w:t>
      </w:r>
    </w:p>
    <w:p>
      <w:pPr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Презентация выполняется в форме слайд-шоу, слайды должны быть выстроены в определенной логической последовательности, которая должна соответствовать творческому замыслу конкретной работы, последний слайд работы должен отражать ссылки на используемые источники, работа должна состоять не более чем из 10 слайдов.</w:t>
      </w:r>
    </w:p>
    <w:p>
      <w:pPr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презентации должна быть отражена информационная заставка с указанием фамилии, имени, отчества участника; населенного пункта; наименования учебного заведения; названия работы; номинации конкурса.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5. Порядок проведения Конкурса.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5.1.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Департамент: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своем официальном сайте </w:t>
      </w:r>
      <w:hyperlink r:id="rId12" w:history="1">
        <w:r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 xml:space="preserve">http://df.gov35.ru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на страницах официальных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аккаунтов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Департамента в социальных сетях размещает информацию: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объявлении Конкурса и условиях их проведения не позднее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8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апреля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результатах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Конкурса в срок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 июня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принимает конкурсные проекты, представленные участниками,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срок до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 (включительно)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организует работу конкурсной комиссии;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5.2.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Представленные на Конкурс конкурсные проекты участникам не возвращаются.</w:t>
      </w:r>
    </w:p>
    <w:p>
      <w:pPr>
        <w:pStyle w:val="Default"/>
        <w:numPr>
          <w:numId w:val="22"/>
          <w:ilvl w:val="1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</w:t>
      </w:r>
      <w:r>
        <w:rPr>
          <w:color w:val="0d0d0d" w:themeColor="text1" w:themeTint="F2"/>
          <w:sz w:val="28"/>
          <w:szCs w:val="28"/>
        </w:rPr>
        <w:t xml:space="preserve">частники гарантируют </w:t>
      </w:r>
      <w:r>
        <w:rPr>
          <w:color w:val="0d0d0d" w:themeColor="text1" w:themeTint="F2"/>
          <w:sz w:val="28"/>
          <w:szCs w:val="28"/>
        </w:rPr>
        <w:t xml:space="preserve">соблюдение</w:t>
      </w:r>
      <w:r>
        <w:rPr>
          <w:color w:val="0d0d0d" w:themeColor="text1" w:themeTint="F2"/>
          <w:sz w:val="28"/>
          <w:szCs w:val="28"/>
        </w:rPr>
        <w:t xml:space="preserve"> авторских прав на </w:t>
      </w:r>
      <w:r>
        <w:rPr>
          <w:color w:val="0d0d0d" w:themeColor="text1" w:themeTint="F2"/>
          <w:sz w:val="28"/>
          <w:szCs w:val="28"/>
        </w:rPr>
        <w:t xml:space="preserve">представленные</w:t>
      </w:r>
      <w:r>
        <w:rPr>
          <w:color w:val="0d0d0d" w:themeColor="text1" w:themeTint="F2"/>
          <w:sz w:val="28"/>
          <w:szCs w:val="28"/>
        </w:rPr>
        <w:t xml:space="preserve"> работы и дают право организатору Конкурса на демонстраци</w:t>
      </w:r>
      <w:r>
        <w:rPr>
          <w:color w:val="0d0d0d" w:themeColor="text1" w:themeTint="F2"/>
          <w:sz w:val="28"/>
          <w:szCs w:val="28"/>
        </w:rPr>
        <w:t xml:space="preserve">ю и</w:t>
      </w:r>
      <w:r>
        <w:rPr>
          <w:color w:val="0d0d0d" w:themeColor="text1" w:themeTint="F2"/>
          <w:sz w:val="28"/>
          <w:szCs w:val="28"/>
        </w:rPr>
        <w:t xml:space="preserve"> размещение в</w:t>
      </w:r>
      <w:r>
        <w:rPr>
          <w:color w:val="0d0d0d" w:themeColor="text1" w:themeTint="F2"/>
          <w:sz w:val="28"/>
          <w:szCs w:val="28"/>
        </w:rPr>
        <w:t xml:space="preserve"> информационно-телекоммуникационной сети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«Интернет»</w:t>
      </w:r>
      <w:r>
        <w:rPr>
          <w:color w:val="0d0d0d" w:themeColor="text1" w:themeTint="F2"/>
          <w:sz w:val="28"/>
          <w:szCs w:val="28"/>
        </w:rPr>
        <w:t xml:space="preserve"> (включая официальный сайт Департамента и </w:t>
      </w:r>
      <w:r>
        <w:rPr>
          <w:color w:val="0d0d0d" w:themeColor="text1" w:themeTint="F2"/>
          <w:sz w:val="28"/>
          <w:szCs w:val="28"/>
        </w:rPr>
        <w:t xml:space="preserve">страницы</w:t>
      </w:r>
      <w:r>
        <w:rPr>
          <w:color w:val="0d0d0d" w:themeColor="text1" w:themeTint="F2"/>
          <w:sz w:val="28"/>
          <w:szCs w:val="28"/>
        </w:rPr>
        <w:t xml:space="preserve"> официальных </w:t>
      </w:r>
      <w:r>
        <w:rPr>
          <w:color w:val="0d0d0d" w:themeColor="text1" w:themeTint="F2"/>
          <w:sz w:val="28"/>
          <w:szCs w:val="28"/>
        </w:rPr>
        <w:t xml:space="preserve">аккаунтов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Департамента в социальных сетях), и т.д.</w:t>
      </w:r>
    </w:p>
    <w:p>
      <w:pPr>
        <w:pStyle w:val="ConsPlusNormal"/>
        <w:tabs>
          <w:tab w:val="left" w:pos="1985"/>
        </w:tabs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6. Порядок формирования и работы конкурсной комиссии.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6.1.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Состав конкурсной комиссии утверждается Департаментом.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6.2.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Конкурсная комиссия рассматривает и оценивает конкурсные проекты, представленные участниками в каждой номинации Конкурса, в период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29 мая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определяет победителей в каждой номинации Конкурса.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6.</w:t>
      </w:r>
      <w:bookmarkStart w:id="3" w:name="Par110"/>
      <w:bookmarkEnd w:id="3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Каждый член конкурсной комиссии оценивает проект индивидуально по 5 - балльной шкале,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согласно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критериям оценки, указанным в приложении 3 к настоящему Положению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6.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Решение комиссии считается правомочным, если на заседании конкурсной комиссии присутствовало не менее половины от общего числа ее членов.</w:t>
      </w:r>
    </w:p>
    <w:p>
      <w:pPr>
        <w:pStyle w:val="ConsPlusNormal"/>
        <w:tabs>
          <w:tab w:val="left" w:pos="2127"/>
          <w:tab w:val="left" w:pos="2835"/>
        </w:tabs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7. Подведение итогов Конкурса и награждение победителей.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7.1.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итогам оценки конкурсных проектов на основании суммарной оценки в баллах, выставленных каждым членом конкурсной комиссии, секретарем конкурсной комиссии составляется сводный рейтинг участников по каждой номинации Конкурса.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7.2. Результаты каждой номинации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даты подведения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итогов и определения победителей Конкурса.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7.3.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Лучшие конкурсные проекты размещаются на официальном сайте Департамента: </w:t>
      </w:r>
      <w:hyperlink r:id="rId13" w:history="1">
        <w:r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 xml:space="preserve">http://df.gov35.ru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7.4.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Все участники Конкурса получают сертификаты участников Конкурса, победителям в каждом из номинаций вручаются дипломы с указанием 1, 2, 3 места.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7.5. Награждение победителей и участников Конкурса проводится в Департаменте финансов области. Информация о дате и времени публикуется на официальном сайте Департамента: </w:t>
      </w:r>
      <w:hyperlink r:id="rId14" w:history="1">
        <w:r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 xml:space="preserve">http://df.gov35.ru</w:t>
        </w:r>
      </w:hyperlink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7.6. За активное участие в Конкурсе Департамент финансов области направляет благодарственные письма на имя преподавателей образовательных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организаций, курирующих автор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(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) проектов, ставших победителя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ми в номинациях Конкурса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</w:t>
      </w:r>
    </w:p>
    <w:p>
      <w:pPr>
        <w:pStyle w:val="ConsPlusNormal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проведении Конкурса в Департаменте финансов области обеспечивается соблюдение требований законодательства Российской Федерации в сфере защиты персональных данных.</w:t>
      </w: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p>
      <w:pPr>
        <w:rPr>
          <w:color w:val="0d0d0d" w:themeColor="text1" w:themeTint="F2"/>
          <w:szCs w:val="28"/>
        </w:rPr>
      </w:pPr>
    </w:p>
    <w:sectPr>
      <w:headerReference w:type="default" r:id="rId9"/>
      <w:footerReference w:type="even" r:id="rId10"/>
      <w:pgSz w:w="11906" w:h="16838"/>
      <w:pgMar w:top="567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"/>
      </w:pPr>
      <w:r>
        <w:separator/>
      </w:r>
    </w:p>
  </w:endnote>
  <w:endnote w:type="continuationSeparator" w:id="0">
    <w:p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"/>
      </w:pPr>
      <w:r>
        <w:separator/>
      </w:r>
    </w:p>
  </w:footnote>
  <w:footnote w:type="continuationSeparator" w:id="0">
    <w:p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 xml:space="preserve"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multiLevelType w:val="hybridMultilevel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multiLevelType w:val="hybridMultilevel"/>
    <w:lvl w:ilvl="0" w:tplc="5F20EC18">
      <w:start w:val="2"/>
      <w:numFmt w:val="decimal"/>
      <w:lvlText w:val="%1."/>
      <w:lvlJc w:val="left"/>
      <w:pPr>
        <w:ind w:left="2204" w:hanging="360"/>
      </w:pPr>
      <w:rPr>
        <w:rFonts w:hint="default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multiLevelType w:val="hybridMultilevel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multiLevelType w:val="hybridMultilevel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5" w:hanging="360"/>
      </w:pPr>
    </w:lvl>
    <w:lvl w:ilvl="2" w:tentative="1" w:tplc="0419001B">
      <w:start w:val="1"/>
      <w:numFmt w:val="lowerRoman"/>
      <w:lvlText w:val="%3."/>
      <w:lvlJc w:val="right"/>
      <w:pPr>
        <w:ind w:left="2225" w:hanging="180"/>
      </w:pPr>
    </w:lvl>
    <w:lvl w:ilvl="3" w:tentative="1" w:tplc="0419000F">
      <w:start w:val="1"/>
      <w:numFmt w:val="decimal"/>
      <w:lvlText w:val="%4."/>
      <w:lvlJc w:val="left"/>
      <w:pPr>
        <w:ind w:left="2945" w:hanging="360"/>
      </w:pPr>
    </w:lvl>
    <w:lvl w:ilvl="4" w:tentative="1" w:tplc="04190019">
      <w:start w:val="1"/>
      <w:numFmt w:val="lowerLetter"/>
      <w:lvlText w:val="%5."/>
      <w:lvlJc w:val="left"/>
      <w:pPr>
        <w:ind w:left="3665" w:hanging="360"/>
      </w:pPr>
    </w:lvl>
    <w:lvl w:ilvl="5" w:tentative="1" w:tplc="0419001B">
      <w:start w:val="1"/>
      <w:numFmt w:val="lowerRoman"/>
      <w:lvlText w:val="%6."/>
      <w:lvlJc w:val="right"/>
      <w:pPr>
        <w:ind w:left="4385" w:hanging="180"/>
      </w:pPr>
    </w:lvl>
    <w:lvl w:ilvl="6" w:tentative="1" w:tplc="0419000F">
      <w:start w:val="1"/>
      <w:numFmt w:val="decimal"/>
      <w:lvlText w:val="%7."/>
      <w:lvlJc w:val="left"/>
      <w:pPr>
        <w:ind w:left="5105" w:hanging="360"/>
      </w:pPr>
    </w:lvl>
    <w:lvl w:ilvl="7" w:tentative="1" w:tplc="04190019">
      <w:start w:val="1"/>
      <w:numFmt w:val="lowerLetter"/>
      <w:lvlText w:val="%8."/>
      <w:lvlJc w:val="left"/>
      <w:pPr>
        <w:ind w:left="5825" w:hanging="360"/>
      </w:pPr>
    </w:lvl>
    <w:lvl w:ilvl="8" w:tentative="1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multiLevelType w:val="hybridMultilevel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506" w:hanging="360"/>
      </w:pPr>
    </w:lvl>
    <w:lvl w:ilvl="2" w:tentative="1" w:tplc="0419001B">
      <w:start w:val="1"/>
      <w:numFmt w:val="lowerRoman"/>
      <w:lvlText w:val="%3."/>
      <w:lvlJc w:val="right"/>
      <w:pPr>
        <w:ind w:left="2226" w:hanging="180"/>
      </w:pPr>
    </w:lvl>
    <w:lvl w:ilvl="3" w:tentative="1" w:tplc="0419000F">
      <w:start w:val="1"/>
      <w:numFmt w:val="decimal"/>
      <w:lvlText w:val="%4."/>
      <w:lvlJc w:val="left"/>
      <w:pPr>
        <w:ind w:left="2946" w:hanging="360"/>
      </w:pPr>
    </w:lvl>
    <w:lvl w:ilvl="4" w:tentative="1" w:tplc="04190019">
      <w:start w:val="1"/>
      <w:numFmt w:val="lowerLetter"/>
      <w:lvlText w:val="%5."/>
      <w:lvlJc w:val="left"/>
      <w:pPr>
        <w:ind w:left="3666" w:hanging="360"/>
      </w:pPr>
    </w:lvl>
    <w:lvl w:ilvl="5" w:tentative="1" w:tplc="0419001B">
      <w:start w:val="1"/>
      <w:numFmt w:val="lowerRoman"/>
      <w:lvlText w:val="%6."/>
      <w:lvlJc w:val="right"/>
      <w:pPr>
        <w:ind w:left="4386" w:hanging="180"/>
      </w:pPr>
    </w:lvl>
    <w:lvl w:ilvl="6" w:tentative="1" w:tplc="0419000F">
      <w:start w:val="1"/>
      <w:numFmt w:val="decimal"/>
      <w:lvlText w:val="%7."/>
      <w:lvlJc w:val="left"/>
      <w:pPr>
        <w:ind w:left="5106" w:hanging="360"/>
      </w:pPr>
    </w:lvl>
    <w:lvl w:ilvl="7" w:tentative="1" w:tplc="04190019">
      <w:start w:val="1"/>
      <w:numFmt w:val="lowerLetter"/>
      <w:lvlText w:val="%8."/>
      <w:lvlJc w:val="left"/>
      <w:pPr>
        <w:ind w:left="5826" w:hanging="360"/>
      </w:pPr>
    </w:lvl>
    <w:lvl w:ilvl="8" w:tentative="1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multiLevelType w:val="hybridMultilevel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multiLevelType w:val="hybridMultilevel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center"/>
    </w:pPr>
    <w:rPr>
      <w:b/>
      <w:szCs w:val="20"/>
    </w:rPr>
  </w:style>
  <w:style w:type="paragraph" w:styleId="a6">
    <w:name w:val="Body Text Indent"/>
    <w:basedOn w:val="a"/>
    <w:pPr>
      <w:ind w:firstLine="748"/>
      <w:jc w:val="both"/>
    </w:pPr>
  </w:style>
  <w:style w:type="paragraph" w:styleId="a7">
    <w:name w:val="Body Text"/>
    <w:basedOn w:val="a"/>
    <w:link w:val="a8"/>
    <w:pPr>
      <w:jc w:val="both"/>
    </w:pPr>
  </w:style>
  <w:style w:type="table" w:styleId="a9">
    <w:name w:val="Table Grid"/>
    <w:basedOn w:val="a1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1"/>
    <w:pPr>
      <w:widowControl w:val="off"/>
      <w:ind w:firstLine="720"/>
    </w:pPr>
    <w:rPr>
      <w:rFonts w:ascii="Arial" w:hAnsi="Arial" w:cs="Arial"/>
    </w:rPr>
  </w:style>
  <w:style w:type="character" w:styleId="ab">
    <w:name w:val="page number"/>
    <w:basedOn w:val="a0"/>
  </w:style>
  <w:style w:type="paragraph" w:styleId="CharChar" w:customStyle="1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FontStyle43" w:customStyle="1">
    <w:name w:val="Font Style4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Pr>
      <w:sz w:val="20"/>
      <w:szCs w:val="20"/>
    </w:rPr>
  </w:style>
  <w:style w:type="character" w:styleId="ae" w:customStyle="1">
    <w:name w:val="Текст сноски Знак"/>
    <w:basedOn w:val="a0"/>
    <w:link w:val="ad"/>
  </w:style>
  <w:style w:type="character" w:styleId="af">
    <w:name w:val="footnote reference"/>
    <w:rPr>
      <w:vertAlign w:val="superscript"/>
    </w:rPr>
  </w:style>
  <w:style w:type="paragraph" w:styleId="ConsPlusTitle" w:customStyle="1">
    <w:name w:val="ConsPlusTitle"/>
    <w:uiPriority w:val="99"/>
    <w:pPr>
      <w:widowControl w:val="off"/>
    </w:pPr>
    <w:rPr>
      <w:b/>
      <w:bCs/>
      <w:sz w:val="24"/>
      <w:szCs w:val="24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8" w:customStyle="1">
    <w:name w:val="Основной текст Знак"/>
    <w:link w:val="a7"/>
    <w:rPr>
      <w:sz w:val="28"/>
      <w:szCs w:val="24"/>
    </w:rPr>
  </w:style>
  <w:style w:type="character" w:styleId="blk" w:customStyle="1">
    <w:name w:val="blk"/>
    <w:basedOn w:val="a0"/>
  </w:style>
  <w:style w:type="character" w:styleId="a4" w:customStyle="1">
    <w:name w:val="Верхний колонтитул Знак"/>
    <w:basedOn w:val="a0"/>
    <w:link w:val="a3"/>
    <w:uiPriority w:val="99"/>
    <w:rPr>
      <w:sz w:val="28"/>
      <w:szCs w:val="24"/>
    </w:r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ConsPlusNormal1" w:customStyle="1">
    <w:name w:val="ConsPlusNormal1"/>
    <w:link w:val="ConsPlusNormal"/>
    <w:locked/>
    <w:rPr>
      <w:rFonts w:ascii="Arial" w:hAnsi="Arial" w:cs="Arial"/>
    </w:rPr>
  </w:style>
  <w:style w:type="paragraph" w:styleId="Default" w:customStyle="1">
    <w:name w:val="Default"/>
    <w:uiPriority w:val="99"/>
    <w:rPr>
      <w:color w:val="000000"/>
      <w:sz w:val="24"/>
      <w:szCs w:val="24"/>
      <w:lang w:eastAsia="en-US"/>
    </w:rPr>
  </w:style>
  <w:style w:type="character" w:styleId="21" w:customStyle="1">
    <w:name w:val="Основной текст (2)_"/>
    <w:basedOn w:val="a0"/>
    <w:link w:val="22"/>
    <w:locked/>
    <w:rPr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pPr>
      <w:widowControl w:val="off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mailto:depfin@df.gov35.ru" TargetMode="External"/><Relationship Id="rId12" Type="http://schemas.openxmlformats.org/officeDocument/2006/relationships/hyperlink" Target="http://df.gov35.ru" TargetMode="External"/><Relationship Id="rId13" Type="http://schemas.openxmlformats.org/officeDocument/2006/relationships/hyperlink" Target="http://df.gov35.ru" TargetMode="External"/><Relationship Id="rId14" Type="http://schemas.openxmlformats.org/officeDocument/2006/relationships/hyperlink" Target="http://df.gov35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7542</Characters>
  <CharactersWithSpaces>8587</CharactersWithSpaces>
  <Company/>
  <DocSecurity>0</DocSecurity>
  <HyperlinksChanged>false</HyperlinksChanged>
  <Lines>62</Lines>
  <LinksUpToDate>false</LinksUpToDate>
  <Pages>6</Pages>
  <Paragraphs>17</Paragraphs>
  <ScaleCrop>false</ScaleCrop>
  <SharedDoc>false</SharedDoc>
  <Template>Normal.dotm</Template>
  <TotalTime>10</TotalTime>
  <Words>1062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2024-04-16T06:10:00Z</dcterms:modified>
</cp:coreProperties>
</file>