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5950E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экспертизы проекта Постановления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</w:t>
      </w:r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егорского</w:t>
      </w:r>
      <w:proofErr w:type="spellEnd"/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</w:t>
      </w:r>
      <w:proofErr w:type="gramStart"/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района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010FEA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010FEA">
        <w:rPr>
          <w:rFonts w:ascii="Times New Roman" w:hAnsi="Times New Roman"/>
          <w:b/>
          <w:sz w:val="24"/>
          <w:szCs w:val="24"/>
        </w:rPr>
        <w:t>О внесении изменений</w:t>
      </w:r>
      <w:r w:rsidRPr="002B637F">
        <w:rPr>
          <w:rFonts w:ascii="Times New Roman" w:hAnsi="Times New Roman"/>
          <w:b/>
          <w:sz w:val="24"/>
          <w:szCs w:val="24"/>
        </w:rPr>
        <w:t xml:space="preserve"> в</w:t>
      </w:r>
      <w:r w:rsidR="000952F2">
        <w:rPr>
          <w:rFonts w:ascii="Times New Roman" w:hAnsi="Times New Roman"/>
          <w:b/>
          <w:sz w:val="24"/>
          <w:szCs w:val="24"/>
        </w:rPr>
        <w:t xml:space="preserve"> муниципальную программу «Формирование современной городской среды на 2018-2024 годы</w:t>
      </w:r>
      <w:r w:rsidR="00010FEA">
        <w:rPr>
          <w:rFonts w:ascii="Times New Roman" w:hAnsi="Times New Roman"/>
          <w:b/>
          <w:sz w:val="24"/>
          <w:szCs w:val="24"/>
        </w:rPr>
        <w:t>»</w:t>
      </w:r>
      <w:r w:rsidRPr="002B637F">
        <w:rPr>
          <w:rFonts w:ascii="Times New Roman" w:hAnsi="Times New Roman"/>
          <w:b/>
          <w:sz w:val="24"/>
          <w:szCs w:val="24"/>
        </w:rPr>
        <w:t xml:space="preserve"> 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4750F7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24.03.2022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Pr="00665EF3">
        <w:rPr>
          <w:rFonts w:ascii="Times New Roman" w:hAnsi="Times New Roman"/>
          <w:sz w:val="24"/>
          <w:szCs w:val="24"/>
        </w:rPr>
        <w:t xml:space="preserve">района 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proofErr w:type="gramEnd"/>
      <w:r w:rsidR="0018562F" w:rsidRPr="0018562F">
        <w:rPr>
          <w:rFonts w:ascii="Times New Roman" w:hAnsi="Times New Roman"/>
          <w:sz w:val="24"/>
          <w:szCs w:val="24"/>
        </w:rPr>
        <w:t>О внесении изменений в</w:t>
      </w:r>
      <w:r w:rsidR="000952F2" w:rsidRPr="000952F2">
        <w:t xml:space="preserve"> </w:t>
      </w:r>
      <w:r w:rsidR="000952F2" w:rsidRPr="000952F2">
        <w:rPr>
          <w:rFonts w:ascii="Times New Roman" w:hAnsi="Times New Roman"/>
          <w:sz w:val="24"/>
          <w:szCs w:val="24"/>
        </w:rPr>
        <w:t>муниципальную программу «Формирование современной го</w:t>
      </w:r>
      <w:r w:rsidR="000952F2">
        <w:rPr>
          <w:rFonts w:ascii="Times New Roman" w:hAnsi="Times New Roman"/>
          <w:sz w:val="24"/>
          <w:szCs w:val="24"/>
        </w:rPr>
        <w:t>родской среды на 2018-2024 годы</w:t>
      </w:r>
      <w:r w:rsidR="0018562F" w:rsidRPr="0018562F">
        <w:rPr>
          <w:rFonts w:ascii="Times New Roman" w:hAnsi="Times New Roman"/>
          <w:sz w:val="24"/>
          <w:szCs w:val="24"/>
        </w:rPr>
        <w:t xml:space="preserve">»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</w:t>
      </w:r>
      <w:bookmarkStart w:id="0" w:name="_GoBack"/>
      <w:bookmarkEnd w:id="0"/>
      <w:r w:rsidRPr="00665EF3">
        <w:rPr>
          <w:rFonts w:ascii="Times New Roman" w:hAnsi="Times New Roman"/>
          <w:sz w:val="24"/>
          <w:szCs w:val="24"/>
        </w:rPr>
        <w:t xml:space="preserve">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Pr="00BE50AA">
        <w:rPr>
          <w:rFonts w:ascii="Times New Roman" w:hAnsi="Times New Roman"/>
          <w:sz w:val="24"/>
          <w:szCs w:val="24"/>
        </w:rPr>
        <w:t>в сфере обеспечения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 повышения уровня благоустройства 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="000952F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52F2">
        <w:rPr>
          <w:rFonts w:ascii="Times New Roman" w:hAnsi="Times New Roman"/>
          <w:sz w:val="24"/>
          <w:szCs w:val="24"/>
        </w:rPr>
        <w:t>является  муниципальная</w:t>
      </w:r>
      <w:proofErr w:type="gramEnd"/>
      <w:r w:rsidR="000952F2">
        <w:rPr>
          <w:rFonts w:ascii="Times New Roman" w:hAnsi="Times New Roman"/>
          <w:sz w:val="24"/>
          <w:szCs w:val="24"/>
        </w:rPr>
        <w:t xml:space="preserve"> программа</w:t>
      </w:r>
      <w:r w:rsidR="007429F7">
        <w:rPr>
          <w:rFonts w:ascii="Times New Roman" w:hAnsi="Times New Roman"/>
          <w:sz w:val="24"/>
          <w:szCs w:val="24"/>
        </w:rPr>
        <w:t xml:space="preserve"> «Формирование современ</w:t>
      </w:r>
      <w:r w:rsidR="004750F7">
        <w:rPr>
          <w:rFonts w:ascii="Times New Roman" w:hAnsi="Times New Roman"/>
          <w:sz w:val="24"/>
          <w:szCs w:val="24"/>
        </w:rPr>
        <w:t>ной городской среды на 2018-2024</w:t>
      </w:r>
      <w:r w:rsidR="007429F7">
        <w:rPr>
          <w:rFonts w:ascii="Times New Roman" w:hAnsi="Times New Roman"/>
          <w:sz w:val="24"/>
          <w:szCs w:val="24"/>
        </w:rPr>
        <w:t xml:space="preserve"> годы»</w:t>
      </w:r>
      <w:r w:rsidRPr="002A44E2">
        <w:rPr>
          <w:rFonts w:ascii="Times New Roman" w:hAnsi="Times New Roman"/>
          <w:sz w:val="24"/>
          <w:szCs w:val="24"/>
        </w:rPr>
        <w:t>,</w:t>
      </w:r>
      <w:r w:rsidR="000952F2">
        <w:rPr>
          <w:rFonts w:ascii="Times New Roman" w:hAnsi="Times New Roman"/>
          <w:sz w:val="24"/>
          <w:szCs w:val="24"/>
        </w:rPr>
        <w:t xml:space="preserve"> приведенная в соответствие с решением Представительного Собрания </w:t>
      </w:r>
      <w:proofErr w:type="spellStart"/>
      <w:r w:rsidR="000952F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4750F7">
        <w:rPr>
          <w:rFonts w:ascii="Times New Roman" w:hAnsi="Times New Roman"/>
          <w:sz w:val="24"/>
          <w:szCs w:val="24"/>
        </w:rPr>
        <w:t xml:space="preserve"> муниципального района от 13.12.2021 № 500 «О районном бюджете на 2022 год и плановый период 2023 и 2024</w:t>
      </w:r>
      <w:r w:rsidR="000952F2">
        <w:rPr>
          <w:rFonts w:ascii="Times New Roman" w:hAnsi="Times New Roman"/>
          <w:sz w:val="24"/>
          <w:szCs w:val="24"/>
        </w:rPr>
        <w:t xml:space="preserve"> годов»,</w:t>
      </w:r>
      <w:r w:rsidRPr="002A44E2">
        <w:rPr>
          <w:rFonts w:ascii="Times New Roman" w:hAnsi="Times New Roman"/>
          <w:sz w:val="24"/>
          <w:szCs w:val="24"/>
        </w:rPr>
        <w:t xml:space="preserve">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BE50AA">
        <w:rPr>
          <w:rFonts w:ascii="Times New Roman" w:hAnsi="Times New Roman"/>
          <w:sz w:val="24"/>
          <w:szCs w:val="24"/>
        </w:rPr>
        <w:t xml:space="preserve">Управление жилищно-коммунального хозяйства, транспорта и строительства </w:t>
      </w:r>
      <w:r w:rsidR="00721E80">
        <w:rPr>
          <w:rFonts w:ascii="Times New Roman" w:hAnsi="Times New Roman"/>
          <w:sz w:val="24"/>
          <w:szCs w:val="24"/>
        </w:rPr>
        <w:t>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финансово-экономическая экспертиза проекта нормативно – правового акта </w:t>
      </w:r>
      <w:r w:rsidR="000952F2">
        <w:rPr>
          <w:rFonts w:ascii="Times New Roman" w:hAnsi="Times New Roman"/>
          <w:sz w:val="24"/>
          <w:szCs w:val="24"/>
          <w:lang w:eastAsia="ru-RU"/>
        </w:rPr>
        <w:t xml:space="preserve">(постановления о внесении изменений)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557F29" w:rsidRDefault="00557F29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AC6" w:rsidRDefault="007C0786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18562F" w:rsidRPr="0018562F">
        <w:rPr>
          <w:rFonts w:ascii="Times New Roman" w:hAnsi="Times New Roman"/>
          <w:sz w:val="24"/>
          <w:szCs w:val="24"/>
        </w:rPr>
        <w:t>«О внесении изменений в</w:t>
      </w:r>
      <w:r w:rsidR="004750F7" w:rsidRPr="004750F7">
        <w:rPr>
          <w:rFonts w:ascii="Times New Roman" w:hAnsi="Times New Roman"/>
          <w:sz w:val="24"/>
          <w:szCs w:val="24"/>
        </w:rPr>
        <w:t xml:space="preserve"> муниципальную программу «Формирование современной городской среды на 2018-2024 годы</w:t>
      </w:r>
      <w:r w:rsidR="0018562F" w:rsidRPr="0018562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предлагает </w:t>
      </w:r>
      <w:r w:rsidR="00BE50AA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4750F7">
        <w:rPr>
          <w:rFonts w:ascii="Times New Roman" w:hAnsi="Times New Roman"/>
          <w:sz w:val="24"/>
          <w:szCs w:val="24"/>
        </w:rPr>
        <w:t>объемы финансирования программы, в характеристики мероприятий. в ожидаемые результаты реализации программы.</w:t>
      </w:r>
    </w:p>
    <w:p w:rsidR="004750F7" w:rsidRDefault="004750F7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7F29" w:rsidRDefault="00557F29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7F29" w:rsidRDefault="00557F29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характеристики сферы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18562F">
              <w:rPr>
                <w:rFonts w:ascii="Times New Roman" w:hAnsi="Times New Roman"/>
                <w:sz w:val="20"/>
                <w:szCs w:val="20"/>
              </w:rPr>
              <w:t>программы 2018-2024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0952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52F2" w:rsidRPr="002821D6" w:rsidRDefault="000952F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Проектом постановления вносятся уточнения в наименования муниципальных образований в связи с утверждением поправок в Уставы поселений.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4750F7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="00803BD1">
              <w:rPr>
                <w:rFonts w:ascii="Times New Roman" w:hAnsi="Times New Roman"/>
                <w:sz w:val="20"/>
                <w:szCs w:val="20"/>
              </w:rPr>
              <w:t xml:space="preserve"> программе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4750F7">
              <w:rPr>
                <w:rFonts w:ascii="Times New Roman" w:hAnsi="Times New Roman"/>
                <w:sz w:val="20"/>
                <w:szCs w:val="20"/>
              </w:rPr>
              <w:t xml:space="preserve">дам предусмотрен в </w:t>
            </w:r>
            <w:proofErr w:type="gramStart"/>
            <w:r w:rsidR="004750F7">
              <w:rPr>
                <w:rFonts w:ascii="Times New Roman" w:hAnsi="Times New Roman"/>
                <w:sz w:val="20"/>
                <w:szCs w:val="20"/>
              </w:rPr>
              <w:t xml:space="preserve">Приложении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803BD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 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0E64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B1F77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-соответствует 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федеральной целевой </w:t>
      </w:r>
      <w:hyperlink r:id="rId7" w:history="1">
        <w:r w:rsidR="00FB1F77" w:rsidRPr="00FB1F77">
          <w:rPr>
            <w:rFonts w:ascii="Times New Roman" w:eastAsiaTheme="minorHAnsi" w:hAnsi="Times New Roman"/>
            <w:sz w:val="24"/>
            <w:szCs w:val="24"/>
          </w:rPr>
          <w:t>программе</w:t>
        </w:r>
      </w:hyperlink>
      <w:r w:rsidR="00FB1F77"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"Жилище", утвержденной постановлением Правительства Российской Федерации от 17 декабря 2010 года N 1050, </w:t>
      </w:r>
    </w:p>
    <w:p w:rsidR="00FB1F77" w:rsidRDefault="00FB1F77" w:rsidP="00A7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-соответствует федеральному приоритетному проекту "Формирование комфортной городской среды",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от 30 декабря 2017 г. N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"Формирование современной город</w:t>
      </w:r>
      <w:r w:rsidR="00C20C87"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годы", утвержденной постановлением Правительства области от 22 сентября 2017 года № 851.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0D35E2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приведения муниципальной программы </w:t>
      </w:r>
      <w:r w:rsid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ее реализации в соответствие 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0D35E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государственной программой</w:t>
      </w:r>
      <w:r w:rsidR="000D35E2"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"Формирование современной город</w:t>
      </w:r>
      <w:r w:rsidR="0069235D"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</w:t>
      </w:r>
      <w:r w:rsidR="000D35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годы", утвержденной постановлением Правительства области от 22 сентября 2017 года № 851</w:t>
      </w:r>
      <w:r w:rsidR="006923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 изменениями)</w:t>
      </w:r>
      <w:r w:rsidR="000D35E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0B49A6" w:rsidRDefault="000B49A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-приведение муниципальной программы в соответствие с решением </w:t>
      </w:r>
      <w:r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</w:t>
      </w:r>
      <w:r w:rsidR="000D35E2">
        <w:rPr>
          <w:rFonts w:ascii="Times New Roman" w:hAnsi="Times New Roman"/>
          <w:sz w:val="24"/>
          <w:szCs w:val="24"/>
        </w:rPr>
        <w:t>рского</w:t>
      </w:r>
      <w:proofErr w:type="spellEnd"/>
      <w:r w:rsidR="000D35E2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4750F7">
        <w:rPr>
          <w:rFonts w:ascii="Times New Roman" w:hAnsi="Times New Roman"/>
          <w:sz w:val="24"/>
          <w:szCs w:val="24"/>
        </w:rPr>
        <w:t>от 13.12.2021 г. № 500</w:t>
      </w:r>
      <w:r w:rsidR="000D35E2">
        <w:rPr>
          <w:rFonts w:ascii="Times New Roman" w:hAnsi="Times New Roman"/>
          <w:sz w:val="24"/>
          <w:szCs w:val="24"/>
        </w:rPr>
        <w:t xml:space="preserve"> </w:t>
      </w:r>
      <w:r w:rsidR="00803BD1">
        <w:rPr>
          <w:rFonts w:ascii="Times New Roman" w:hAnsi="Times New Roman"/>
          <w:sz w:val="24"/>
          <w:szCs w:val="24"/>
        </w:rPr>
        <w:t xml:space="preserve">«О </w:t>
      </w:r>
      <w:r w:rsidR="004750F7">
        <w:rPr>
          <w:rFonts w:ascii="Times New Roman" w:hAnsi="Times New Roman"/>
          <w:sz w:val="24"/>
          <w:szCs w:val="24"/>
        </w:rPr>
        <w:t>районном бюджете на 2022 год и плановый период 2023 и 2024</w:t>
      </w:r>
      <w:r w:rsidR="000D35E2" w:rsidRPr="00B445EE">
        <w:rPr>
          <w:rFonts w:ascii="Times New Roman" w:hAnsi="Times New Roman"/>
          <w:sz w:val="24"/>
          <w:szCs w:val="24"/>
        </w:rPr>
        <w:t xml:space="preserve"> годов»</w:t>
      </w:r>
      <w:r w:rsidR="000D35E2">
        <w:rPr>
          <w:rFonts w:ascii="Times New Roman" w:hAnsi="Times New Roman"/>
          <w:sz w:val="24"/>
          <w:szCs w:val="24"/>
        </w:rPr>
        <w:t xml:space="preserve"> (с последующими изменениями),</w:t>
      </w:r>
    </w:p>
    <w:p w:rsidR="000D35E2" w:rsidRPr="00DC6637" w:rsidRDefault="000D35E2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-уточнения </w:t>
      </w:r>
      <w:r w:rsidR="00C20C87">
        <w:rPr>
          <w:rFonts w:ascii="Times New Roman" w:hAnsi="Times New Roman"/>
          <w:sz w:val="24"/>
          <w:szCs w:val="24"/>
        </w:rPr>
        <w:t xml:space="preserve">значений целевых показателей </w:t>
      </w:r>
      <w:r w:rsidR="00D66305">
        <w:rPr>
          <w:rFonts w:ascii="Times New Roman" w:hAnsi="Times New Roman"/>
          <w:sz w:val="24"/>
          <w:szCs w:val="24"/>
        </w:rPr>
        <w:t>Программы.</w:t>
      </w:r>
    </w:p>
    <w:p w:rsidR="000D35E2" w:rsidRDefault="000D35E2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>Цель муниц</w:t>
      </w:r>
      <w:r w:rsidR="000D35E2">
        <w:rPr>
          <w:rFonts w:ascii="Times New Roman" w:hAnsi="Times New Roman"/>
          <w:sz w:val="24"/>
          <w:szCs w:val="24"/>
        </w:rPr>
        <w:t xml:space="preserve">ипальной программы: повышение качества и комфорта городской среды на территории </w:t>
      </w:r>
      <w:proofErr w:type="spellStart"/>
      <w:r w:rsidR="000D35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D35E2">
        <w:rPr>
          <w:rFonts w:ascii="Times New Roman" w:hAnsi="Times New Roman"/>
          <w:sz w:val="24"/>
          <w:szCs w:val="24"/>
        </w:rPr>
        <w:t xml:space="preserve"> района</w:t>
      </w:r>
    </w:p>
    <w:p w:rsidR="000D35E2" w:rsidRDefault="000D35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4EFB" w:rsidRDefault="00844EFB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 xml:space="preserve">   1. Повышение уровня благоустройства дворовых территорий многоквартирных домов муниципального образования «Город Вытегра» (далее – дворовые территории).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 xml:space="preserve">   2. Повышение уровня благоустройства общественных территорий сельского поселения Анненское </w:t>
      </w:r>
      <w:proofErr w:type="spellStart"/>
      <w:r w:rsidRPr="00C20C8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(далее –сельское поселение Анненское), сельского поселения </w:t>
      </w:r>
      <w:proofErr w:type="spellStart"/>
      <w:r w:rsidRPr="00C20C87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C8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(далее –сельское поселение </w:t>
      </w:r>
      <w:proofErr w:type="spellStart"/>
      <w:r w:rsidRPr="00C20C87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), сельского поселения </w:t>
      </w:r>
      <w:proofErr w:type="spellStart"/>
      <w:r w:rsidRPr="00C20C87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C8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(далее –сельское поселение Оштинское) и муниципального образования «Город Вытегра» (далее также – МО «Город Вытегра»).</w:t>
      </w:r>
    </w:p>
    <w:p w:rsidR="000D610C" w:rsidRPr="00C20C87" w:rsidRDefault="000D610C" w:rsidP="00C20C87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>Восстановление исторического облика набережной реки Вытегра.</w:t>
      </w:r>
    </w:p>
    <w:p w:rsidR="000D610C" w:rsidRPr="00C20C87" w:rsidRDefault="000D610C" w:rsidP="00C20C87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 xml:space="preserve">Повышение уровня благоустройства объектов недвижимого имущества (включая объекты незавершенного строительства) и </w:t>
      </w:r>
      <w:proofErr w:type="gramStart"/>
      <w:r w:rsidRPr="00C20C87">
        <w:rPr>
          <w:rFonts w:ascii="Times New Roman" w:hAnsi="Times New Roman"/>
          <w:sz w:val="24"/>
          <w:szCs w:val="24"/>
        </w:rPr>
        <w:t>земельных участков</w:t>
      </w:r>
      <w:proofErr w:type="gramEnd"/>
      <w:r w:rsidRPr="00C20C87">
        <w:rPr>
          <w:rFonts w:ascii="Times New Roman" w:hAnsi="Times New Roman"/>
          <w:sz w:val="24"/>
          <w:szCs w:val="24"/>
        </w:rPr>
        <w:t xml:space="preserve"> находящихся в собственности (пользовании) юридических лиц и индивидуальных предпринимателей.</w:t>
      </w:r>
    </w:p>
    <w:p w:rsidR="000D610C" w:rsidRDefault="000D610C" w:rsidP="00C20C87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уровня благоустройства индивидуальных жилых домов и земельных участков, предоставленных для их размещения. </w:t>
      </w:r>
    </w:p>
    <w:p w:rsidR="00315EEE" w:rsidRDefault="00315EEE" w:rsidP="00594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EEE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844EFB" w:rsidRPr="004E1A0A" w:rsidRDefault="009D3829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E1A0A">
        <w:rPr>
          <w:rFonts w:ascii="Times New Roman" w:hAnsi="Times New Roman"/>
          <w:sz w:val="24"/>
          <w:szCs w:val="24"/>
          <w:u w:val="single"/>
        </w:rPr>
        <w:t xml:space="preserve"> Количество</w:t>
      </w:r>
      <w:r w:rsidR="00B43958" w:rsidRPr="004E1A0A">
        <w:rPr>
          <w:rFonts w:ascii="Times New Roman" w:hAnsi="Times New Roman"/>
          <w:sz w:val="24"/>
          <w:szCs w:val="24"/>
          <w:u w:val="single"/>
        </w:rPr>
        <w:t xml:space="preserve"> целевых показател</w:t>
      </w:r>
      <w:r w:rsidR="004E1A0A" w:rsidRPr="004E1A0A">
        <w:rPr>
          <w:rFonts w:ascii="Times New Roman" w:hAnsi="Times New Roman"/>
          <w:sz w:val="24"/>
          <w:szCs w:val="24"/>
          <w:u w:val="single"/>
        </w:rPr>
        <w:t>ей в паспорте</w:t>
      </w:r>
      <w:r w:rsidR="00B43958" w:rsidRPr="004E1A0A">
        <w:rPr>
          <w:rFonts w:ascii="Times New Roman" w:hAnsi="Times New Roman"/>
          <w:sz w:val="24"/>
          <w:szCs w:val="24"/>
          <w:u w:val="single"/>
        </w:rPr>
        <w:t xml:space="preserve"> прогр</w:t>
      </w:r>
      <w:r w:rsidR="00EA2DCB" w:rsidRPr="004E1A0A">
        <w:rPr>
          <w:rFonts w:ascii="Times New Roman" w:hAnsi="Times New Roman"/>
          <w:sz w:val="24"/>
          <w:szCs w:val="24"/>
          <w:u w:val="single"/>
        </w:rPr>
        <w:t>аммы</w:t>
      </w:r>
      <w:r w:rsidRPr="004E1A0A">
        <w:rPr>
          <w:rFonts w:ascii="Times New Roman" w:hAnsi="Times New Roman"/>
          <w:sz w:val="24"/>
          <w:szCs w:val="24"/>
          <w:u w:val="single"/>
        </w:rPr>
        <w:t xml:space="preserve"> предусмотрено </w:t>
      </w:r>
      <w:r w:rsidR="00C20C87" w:rsidRPr="004E1A0A">
        <w:rPr>
          <w:rFonts w:ascii="Times New Roman" w:hAnsi="Times New Roman"/>
          <w:sz w:val="24"/>
          <w:szCs w:val="24"/>
          <w:u w:val="single"/>
        </w:rPr>
        <w:t>11</w:t>
      </w:r>
      <w:r w:rsidRPr="004E1A0A">
        <w:rPr>
          <w:rFonts w:ascii="Times New Roman" w:hAnsi="Times New Roman"/>
          <w:sz w:val="24"/>
          <w:szCs w:val="24"/>
          <w:u w:val="single"/>
        </w:rPr>
        <w:t xml:space="preserve">, что </w:t>
      </w:r>
      <w:r w:rsidR="004E1A0A" w:rsidRPr="004E1A0A">
        <w:rPr>
          <w:rFonts w:ascii="Times New Roman" w:hAnsi="Times New Roman"/>
          <w:sz w:val="24"/>
          <w:szCs w:val="24"/>
          <w:u w:val="single"/>
        </w:rPr>
        <w:t xml:space="preserve">не </w:t>
      </w:r>
      <w:r w:rsidRPr="004E1A0A">
        <w:rPr>
          <w:rFonts w:ascii="Times New Roman" w:hAnsi="Times New Roman"/>
          <w:sz w:val="24"/>
          <w:szCs w:val="24"/>
          <w:u w:val="single"/>
        </w:rPr>
        <w:t xml:space="preserve">соответствует </w:t>
      </w:r>
      <w:r w:rsidR="004E1A0A" w:rsidRPr="004E1A0A">
        <w:rPr>
          <w:rFonts w:ascii="Times New Roman" w:hAnsi="Times New Roman"/>
          <w:sz w:val="24"/>
          <w:szCs w:val="24"/>
          <w:u w:val="single"/>
        </w:rPr>
        <w:t xml:space="preserve">количеству показателей ожидаемых результатов в подпункте 2 пункта 1 проекта постановления – отсутствует </w:t>
      </w:r>
      <w:proofErr w:type="gramStart"/>
      <w:r w:rsidR="004E1A0A" w:rsidRPr="004E1A0A">
        <w:rPr>
          <w:rFonts w:ascii="Times New Roman" w:hAnsi="Times New Roman"/>
          <w:sz w:val="24"/>
          <w:szCs w:val="24"/>
          <w:u w:val="single"/>
        </w:rPr>
        <w:t>показатель  «</w:t>
      </w:r>
      <w:proofErr w:type="gramEnd"/>
      <w:r w:rsidR="004E1A0A" w:rsidRPr="004E1A0A">
        <w:rPr>
          <w:rFonts w:ascii="Times New Roman" w:hAnsi="Times New Roman"/>
          <w:sz w:val="24"/>
          <w:szCs w:val="24"/>
          <w:u w:val="single"/>
        </w:rPr>
        <w:t>увеличить долю трудового участия заинтересованных лиц в выполнении дополнительного перечня работ по благоустройству дворовых территорий в 2024 году по отношению к 2017 году до 15 %»</w:t>
      </w:r>
      <w:r w:rsidR="004E1A0A">
        <w:rPr>
          <w:rFonts w:ascii="Times New Roman" w:hAnsi="Times New Roman"/>
          <w:sz w:val="24"/>
          <w:szCs w:val="24"/>
          <w:u w:val="single"/>
        </w:rPr>
        <w:t>.</w:t>
      </w:r>
    </w:p>
    <w:p w:rsidR="00EE7FFC" w:rsidRDefault="00EE7FFC" w:rsidP="004E1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F53" w:rsidRDefault="00EE7FFC" w:rsidP="00B21A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постановления внесены </w:t>
      </w:r>
      <w:r w:rsidR="00F90814">
        <w:rPr>
          <w:rFonts w:ascii="Times New Roman" w:hAnsi="Times New Roman"/>
          <w:sz w:val="24"/>
          <w:szCs w:val="24"/>
        </w:rPr>
        <w:t>изменения в значения к 2024 году</w:t>
      </w:r>
      <w:r>
        <w:rPr>
          <w:rFonts w:ascii="Times New Roman" w:hAnsi="Times New Roman"/>
          <w:sz w:val="24"/>
          <w:szCs w:val="24"/>
        </w:rPr>
        <w:t xml:space="preserve"> ожидаемых результатов реализации программы»</w:t>
      </w:r>
      <w:r w:rsidR="00F90814"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3402"/>
      </w:tblGrid>
      <w:tr w:rsidR="00F61F53" w:rsidTr="00B21A64">
        <w:tc>
          <w:tcPr>
            <w:tcW w:w="3369" w:type="dxa"/>
          </w:tcPr>
          <w:p w:rsidR="00F61F53" w:rsidRPr="004E1A0A" w:rsidRDefault="00F61F53" w:rsidP="006A62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1A0A">
              <w:rPr>
                <w:rFonts w:ascii="Times New Roman" w:hAnsi="Times New Roman"/>
                <w:b/>
                <w:sz w:val="20"/>
                <w:szCs w:val="20"/>
              </w:rPr>
              <w:t xml:space="preserve"> Редакция программы в ред. постановления от 15.05.2020 г. № 479</w:t>
            </w:r>
          </w:p>
        </w:tc>
        <w:tc>
          <w:tcPr>
            <w:tcW w:w="3402" w:type="dxa"/>
          </w:tcPr>
          <w:p w:rsidR="00F61F53" w:rsidRPr="004E1A0A" w:rsidRDefault="00F61F53" w:rsidP="006A62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1A0A">
              <w:rPr>
                <w:rFonts w:ascii="Times New Roman" w:hAnsi="Times New Roman"/>
                <w:b/>
                <w:sz w:val="20"/>
                <w:szCs w:val="20"/>
              </w:rPr>
              <w:t>Действующая редакция (в ред. постановления от 29.03.2021 г № 291)</w:t>
            </w:r>
          </w:p>
        </w:tc>
        <w:tc>
          <w:tcPr>
            <w:tcW w:w="3402" w:type="dxa"/>
          </w:tcPr>
          <w:p w:rsidR="00F61F53" w:rsidRPr="004E1A0A" w:rsidRDefault="00F61F53" w:rsidP="006A623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1A0A">
              <w:rPr>
                <w:rFonts w:ascii="Times New Roman" w:hAnsi="Times New Roman"/>
                <w:b/>
                <w:sz w:val="20"/>
                <w:szCs w:val="20"/>
              </w:rPr>
              <w:t>Предлагаемая проектом постановления редакция</w:t>
            </w:r>
          </w:p>
        </w:tc>
      </w:tr>
      <w:tr w:rsidR="00F61F53" w:rsidTr="00B21A64">
        <w:tc>
          <w:tcPr>
            <w:tcW w:w="3369" w:type="dxa"/>
          </w:tcPr>
          <w:p w:rsidR="00557F29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За период действия программы с 2018 года по 2024 год планируется достижение следующих результатов:</w:t>
            </w:r>
            <w:r w:rsidR="00B21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благоустроенных дворовых территорий в 2024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году  по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отношению к 2017 году на 29 единиц;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За период действия программы с 2018 года по 2024 год планируется достижение следующих результатов: </w:t>
            </w:r>
          </w:p>
          <w:p w:rsidR="00557F29" w:rsidRDefault="00557F29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благоустроенных дворовых территорий в 2024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году  по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отно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шению к 2017 году на </w:t>
            </w:r>
            <w:r w:rsidRPr="00F61F53">
              <w:rPr>
                <w:rFonts w:ascii="Times New Roman" w:hAnsi="Times New Roman"/>
                <w:b/>
                <w:sz w:val="20"/>
                <w:szCs w:val="20"/>
              </w:rPr>
              <w:t>12 единиц;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За период действия программы с 2018 года по 2024 год планируется достижение следующих результатов: </w:t>
            </w:r>
          </w:p>
          <w:p w:rsidR="00557F29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увеличить количество благоустроенных дворовых территорий в 2024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году  по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отно</w:t>
            </w:r>
            <w:r w:rsidR="00AC58ED">
              <w:rPr>
                <w:rFonts w:ascii="Times New Roman" w:hAnsi="Times New Roman"/>
                <w:sz w:val="20"/>
                <w:szCs w:val="20"/>
              </w:rPr>
              <w:t>шению к 2017 году на 12</w:t>
            </w: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единиц;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долю благоустроенных дворовых территорий от общего количества дворовых территорий в 2024 году по отношению к 2017 году до 10,2 %;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долю благоустроенных дворовых территорий от общего количества дворовых территорий в 2024 году </w:t>
            </w:r>
            <w:r w:rsidR="00AC58ED">
              <w:rPr>
                <w:rFonts w:ascii="Times New Roman" w:hAnsi="Times New Roman"/>
                <w:sz w:val="20"/>
                <w:szCs w:val="20"/>
              </w:rPr>
              <w:t xml:space="preserve">по отношению к 2017 году </w:t>
            </w:r>
            <w:r w:rsidR="00AC58ED" w:rsidRPr="00AC58ED">
              <w:rPr>
                <w:rFonts w:ascii="Times New Roman" w:hAnsi="Times New Roman"/>
                <w:b/>
                <w:sz w:val="20"/>
                <w:szCs w:val="20"/>
              </w:rPr>
              <w:t>до 4,3</w:t>
            </w:r>
            <w:r w:rsidRPr="00AC58ED">
              <w:rPr>
                <w:rFonts w:ascii="Times New Roman" w:hAnsi="Times New Roman"/>
                <w:b/>
                <w:sz w:val="20"/>
                <w:szCs w:val="20"/>
              </w:rPr>
              <w:t xml:space="preserve"> %;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долю благоустроенных дворовых территорий от общего количества дворовых территорий в 2024 году </w:t>
            </w:r>
            <w:r w:rsidR="00AC58ED">
              <w:rPr>
                <w:rFonts w:ascii="Times New Roman" w:hAnsi="Times New Roman"/>
                <w:sz w:val="20"/>
                <w:szCs w:val="20"/>
              </w:rPr>
              <w:t xml:space="preserve">по отношению к 2017 году </w:t>
            </w:r>
            <w:r w:rsidR="00AC58ED" w:rsidRPr="00AC58ED">
              <w:rPr>
                <w:rFonts w:ascii="Times New Roman" w:hAnsi="Times New Roman"/>
                <w:b/>
                <w:sz w:val="20"/>
                <w:szCs w:val="20"/>
              </w:rPr>
              <w:t>до 4,2</w:t>
            </w:r>
            <w:r w:rsidRPr="00AC58ED">
              <w:rPr>
                <w:rFonts w:ascii="Times New Roman" w:hAnsi="Times New Roman"/>
                <w:b/>
                <w:sz w:val="20"/>
                <w:szCs w:val="20"/>
              </w:rPr>
              <w:t xml:space="preserve"> %;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охват населения МО «Город Вытегра» благоустроенными дворовыми территориями (доля населения МО «Город Вытегра», проживающего в жилом фонде с благоустроенными дворовыми территориями, от общей численности населения МО «Город Вытегра») в 2024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году  по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отношению к 2017 году до 8,4 %;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охват населения МО «Город Вытегра» благоустроенными дворовыми территориями (доля населения МО «Город Вытегра», проживающего в жилом фонде с благоустроенными дворовыми территориями, от общей численности населения МО «Город Вытегра») в 2024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году  по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отношению к 2017 году до 8,4 %;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охват населения МО «Город Вытегра» благоустроенными дворовыми территориями (доля населения МО «Город Вытегра», проживающего в жилом фонде с благоустроенными дворовыми территориями, от общей численности населения МО «Город Вытегра») в 2024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году  по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8ED">
              <w:rPr>
                <w:rFonts w:ascii="Times New Roman" w:hAnsi="Times New Roman"/>
                <w:sz w:val="20"/>
                <w:szCs w:val="20"/>
              </w:rPr>
              <w:t xml:space="preserve">отношению к 2017 году </w:t>
            </w:r>
            <w:r w:rsidR="00AC58ED" w:rsidRPr="005B67DE">
              <w:rPr>
                <w:rFonts w:ascii="Times New Roman" w:hAnsi="Times New Roman"/>
                <w:b/>
                <w:sz w:val="20"/>
                <w:szCs w:val="20"/>
              </w:rPr>
              <w:t>до 16,3</w:t>
            </w: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долю трудового участия заинтересованных лиц в выполнении минимального перечня работ по благоустройству дворовых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территорий  в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2024 году по отношению к 2017 году до 100 %;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долю трудового участия заинтересованных лиц в выполнении минимального перечня работ по благоустройству дворовых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территорий  в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2024 году по </w:t>
            </w:r>
            <w:r w:rsidR="00AC58ED">
              <w:rPr>
                <w:rFonts w:ascii="Times New Roman" w:hAnsi="Times New Roman"/>
                <w:sz w:val="20"/>
                <w:szCs w:val="20"/>
              </w:rPr>
              <w:t xml:space="preserve">отношению к 2017 году </w:t>
            </w:r>
            <w:r w:rsidR="00AC58ED" w:rsidRPr="00AC58ED">
              <w:rPr>
                <w:rFonts w:ascii="Times New Roman" w:hAnsi="Times New Roman"/>
                <w:b/>
                <w:sz w:val="20"/>
                <w:szCs w:val="20"/>
              </w:rPr>
              <w:t>до 37,6</w:t>
            </w:r>
            <w:r w:rsidRPr="00AC58ED">
              <w:rPr>
                <w:rFonts w:ascii="Times New Roman" w:hAnsi="Times New Roman"/>
                <w:b/>
                <w:sz w:val="20"/>
                <w:szCs w:val="20"/>
              </w:rPr>
              <w:t xml:space="preserve"> %;</w:t>
            </w:r>
          </w:p>
        </w:tc>
        <w:tc>
          <w:tcPr>
            <w:tcW w:w="3402" w:type="dxa"/>
          </w:tcPr>
          <w:p w:rsidR="00F61F53" w:rsidRPr="00F61F53" w:rsidRDefault="00F61F53" w:rsidP="005B67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долю трудового участия заинтересованных лиц в выполнении минимального перечня работ по благоустройству дворовых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территорий  в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2024 году по отношению к 2017 году </w:t>
            </w:r>
            <w:r w:rsidRPr="005B67DE">
              <w:rPr>
                <w:rFonts w:ascii="Times New Roman" w:hAnsi="Times New Roman"/>
                <w:b/>
                <w:sz w:val="20"/>
                <w:szCs w:val="20"/>
              </w:rPr>
              <w:t xml:space="preserve">до </w:t>
            </w:r>
            <w:r w:rsidR="005B67DE" w:rsidRPr="005B67DE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5B67DE">
              <w:rPr>
                <w:rFonts w:ascii="Times New Roman" w:hAnsi="Times New Roman"/>
                <w:b/>
                <w:sz w:val="20"/>
                <w:szCs w:val="20"/>
              </w:rPr>
              <w:t xml:space="preserve"> %;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долю трудового участия заинтересованных лиц в выполнении дополнительного перечня работ по благоустройству дворовых территорий в 2024 году по отношению к 2017 году до 15 %;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долю трудового участия заинтересованных лиц в выполнении дополнительного перечня работ по благоустройству дворовых территорий в 2024 году по отношению к 2017 году до 15 %;</w:t>
            </w:r>
          </w:p>
        </w:tc>
        <w:tc>
          <w:tcPr>
            <w:tcW w:w="3402" w:type="dxa"/>
          </w:tcPr>
          <w:p w:rsidR="005B67DE" w:rsidRDefault="005B67DE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B67DE" w:rsidRDefault="005B67DE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61F53" w:rsidRPr="00F61F53" w:rsidRDefault="005B67DE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исключен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благоустроенных общественных территорий в 2024 году по отношению к 2017 году на 25 единиц;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благоустроенных общественных территорий в 2024 году по отно</w:t>
            </w:r>
            <w:r w:rsidR="00AC58ED">
              <w:rPr>
                <w:rFonts w:ascii="Times New Roman" w:hAnsi="Times New Roman"/>
                <w:sz w:val="20"/>
                <w:szCs w:val="20"/>
              </w:rPr>
              <w:t xml:space="preserve">шению к 2017 году </w:t>
            </w:r>
            <w:r w:rsidR="00AC58ED" w:rsidRPr="00AC58ED">
              <w:rPr>
                <w:rFonts w:ascii="Times New Roman" w:hAnsi="Times New Roman"/>
                <w:b/>
                <w:sz w:val="20"/>
                <w:szCs w:val="20"/>
              </w:rPr>
              <w:t>на 26</w:t>
            </w:r>
            <w:r w:rsidRPr="00AC58ED">
              <w:rPr>
                <w:rFonts w:ascii="Times New Roman" w:hAnsi="Times New Roman"/>
                <w:b/>
                <w:sz w:val="20"/>
                <w:szCs w:val="20"/>
              </w:rPr>
              <w:t xml:space="preserve"> единиц;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благоустроенных общественных территорий в 2024 году по отно</w:t>
            </w:r>
            <w:r w:rsidR="005B67DE">
              <w:rPr>
                <w:rFonts w:ascii="Times New Roman" w:hAnsi="Times New Roman"/>
                <w:sz w:val="20"/>
                <w:szCs w:val="20"/>
              </w:rPr>
              <w:t>шению к 2017 году на 26</w:t>
            </w: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единиц;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>увеличить долю благоустроенных общественных территорий от общего количества общественных территорий в 2024 году по отношению к 2017 году на 100%;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>увеличить долю благоустроенных общественных территорий от общего количества общественных территорий в 2024 году по отношению к 2017 году на 100%;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>увеличить долю благоустроенных общественных территорий от общего количества общественных территорий в 2024 году по отношению к 2017 году на 100%;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проектов благоустройства общественных территорий, выполненных с участием граждан и заинтересованных организаций в 2024 году по отношению к 2017 году на 25 единиц;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проектов благоустройства общественных территорий, выполненных с участием граждан и заинтересованных организаций в 2024 году по отно</w:t>
            </w:r>
            <w:r w:rsidR="00AC58ED">
              <w:rPr>
                <w:rFonts w:ascii="Times New Roman" w:hAnsi="Times New Roman"/>
                <w:sz w:val="20"/>
                <w:szCs w:val="20"/>
              </w:rPr>
              <w:t xml:space="preserve">шению к 2017 году </w:t>
            </w:r>
            <w:r w:rsidR="00AC58ED" w:rsidRPr="005B67DE">
              <w:rPr>
                <w:rFonts w:ascii="Times New Roman" w:hAnsi="Times New Roman"/>
                <w:b/>
                <w:sz w:val="20"/>
                <w:szCs w:val="20"/>
              </w:rPr>
              <w:t>на 26</w:t>
            </w:r>
            <w:r w:rsidRPr="005B67DE">
              <w:rPr>
                <w:rFonts w:ascii="Times New Roman" w:hAnsi="Times New Roman"/>
                <w:b/>
                <w:sz w:val="20"/>
                <w:szCs w:val="20"/>
              </w:rPr>
              <w:t xml:space="preserve"> единиц</w:t>
            </w:r>
            <w:r w:rsidRPr="00F61F53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проектов благоустройства общественных территорий, выполненных с участием граждан и заинтересованных организаций в 2024 году по отно</w:t>
            </w:r>
            <w:r w:rsidR="005B67DE">
              <w:rPr>
                <w:rFonts w:ascii="Times New Roman" w:hAnsi="Times New Roman"/>
                <w:sz w:val="20"/>
                <w:szCs w:val="20"/>
              </w:rPr>
              <w:t>шению к 2017 году на 26</w:t>
            </w: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единиц;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>обеспечить реализацию 1-го проекта создания комфортной городской среды в малых городах и исторических поселениях;</w:t>
            </w:r>
          </w:p>
        </w:tc>
        <w:tc>
          <w:tcPr>
            <w:tcW w:w="3402" w:type="dxa"/>
          </w:tcPr>
          <w:p w:rsidR="00F61F53" w:rsidRPr="00F61F53" w:rsidRDefault="00AC58ED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обеспечить реализацию </w:t>
            </w:r>
            <w:r w:rsidRPr="00AC58ED">
              <w:rPr>
                <w:rFonts w:ascii="Times New Roman" w:hAnsi="Times New Roman"/>
                <w:b/>
                <w:sz w:val="20"/>
                <w:szCs w:val="20"/>
              </w:rPr>
              <w:t>одно</w:t>
            </w:r>
            <w:r w:rsidR="00F61F53" w:rsidRPr="00AC58ED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  <w:r w:rsidR="00F61F53" w:rsidRPr="00F61F53">
              <w:rPr>
                <w:rFonts w:ascii="Times New Roman" w:hAnsi="Times New Roman"/>
                <w:sz w:val="20"/>
                <w:szCs w:val="20"/>
              </w:rPr>
              <w:t xml:space="preserve"> проекта создания комфортной городской среды в малых городах и исторических поселениях;</w:t>
            </w:r>
          </w:p>
        </w:tc>
        <w:tc>
          <w:tcPr>
            <w:tcW w:w="3402" w:type="dxa"/>
          </w:tcPr>
          <w:p w:rsidR="00F61F53" w:rsidRPr="00F61F53" w:rsidRDefault="005B67DE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реализацию одно</w:t>
            </w:r>
            <w:r w:rsidR="00F61F53" w:rsidRPr="00F61F53">
              <w:rPr>
                <w:rFonts w:ascii="Times New Roman" w:hAnsi="Times New Roman"/>
                <w:sz w:val="20"/>
                <w:szCs w:val="20"/>
              </w:rPr>
              <w:t>го проекта создания комфортной городской среды в малых городах и исторических поселениях;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увеличить количество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благоустроенных  объектов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F61F53">
              <w:rPr>
                <w:rFonts w:ascii="Times New Roman" w:hAnsi="Times New Roman"/>
                <w:sz w:val="20"/>
                <w:szCs w:val="20"/>
              </w:rPr>
              <w:lastRenderedPageBreak/>
              <w:t>юридических лиц и</w:t>
            </w:r>
            <w:r w:rsidR="00B21A64">
              <w:rPr>
                <w:rFonts w:ascii="Times New Roman" w:hAnsi="Times New Roman"/>
                <w:sz w:val="20"/>
                <w:szCs w:val="20"/>
              </w:rPr>
              <w:t xml:space="preserve"> индивидуальных </w:t>
            </w:r>
            <w:r w:rsidRPr="00F61F53">
              <w:rPr>
                <w:rFonts w:ascii="Times New Roman" w:hAnsi="Times New Roman"/>
                <w:sz w:val="20"/>
                <w:szCs w:val="20"/>
              </w:rPr>
              <w:t>предпринимателей, в 2024 году по отношению к 2017 году на 3 единицы;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увеличить количество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благоустроенных  объектов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F61F53">
              <w:rPr>
                <w:rFonts w:ascii="Times New Roman" w:hAnsi="Times New Roman"/>
                <w:sz w:val="20"/>
                <w:szCs w:val="20"/>
              </w:rPr>
              <w:lastRenderedPageBreak/>
              <w:t>юридических лиц и индивидуальных предпринимателей, в 2024 го</w:t>
            </w:r>
            <w:r w:rsidR="00AC58ED">
              <w:rPr>
                <w:rFonts w:ascii="Times New Roman" w:hAnsi="Times New Roman"/>
                <w:sz w:val="20"/>
                <w:szCs w:val="20"/>
              </w:rPr>
              <w:t xml:space="preserve">ду по отношению к 2017 году </w:t>
            </w:r>
            <w:r w:rsidR="00AC58ED" w:rsidRPr="00AC58ED">
              <w:rPr>
                <w:rFonts w:ascii="Times New Roman" w:hAnsi="Times New Roman"/>
                <w:b/>
                <w:sz w:val="20"/>
                <w:szCs w:val="20"/>
              </w:rPr>
              <w:t>на 4</w:t>
            </w:r>
            <w:r w:rsidRPr="00AC58ED">
              <w:rPr>
                <w:rFonts w:ascii="Times New Roman" w:hAnsi="Times New Roman"/>
                <w:b/>
                <w:sz w:val="20"/>
                <w:szCs w:val="20"/>
              </w:rPr>
              <w:t xml:space="preserve"> единицы;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увеличить количество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благоустроенных  объектов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недвижимого имущества (включая объекты незавершенного строительства) и земельных участков, находящихся в собственности (пользовании) </w:t>
            </w:r>
            <w:r w:rsidRPr="00F61F53">
              <w:rPr>
                <w:rFonts w:ascii="Times New Roman" w:hAnsi="Times New Roman"/>
                <w:sz w:val="20"/>
                <w:szCs w:val="20"/>
              </w:rPr>
              <w:lastRenderedPageBreak/>
              <w:t>юридических лиц и индивидуальных предпринимателей, в 2024 го</w:t>
            </w:r>
            <w:r w:rsidR="005B67DE">
              <w:rPr>
                <w:rFonts w:ascii="Times New Roman" w:hAnsi="Times New Roman"/>
                <w:sz w:val="20"/>
                <w:szCs w:val="20"/>
              </w:rPr>
              <w:t>ду по отношению к 2017 году на 4</w:t>
            </w: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единицы;</w:t>
            </w:r>
          </w:p>
        </w:tc>
      </w:tr>
      <w:tr w:rsidR="00F61F53" w:rsidTr="00B21A64">
        <w:tc>
          <w:tcPr>
            <w:tcW w:w="3369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увеличить количество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благоустроенных  индивидуальных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жилых домов и земельных участков, предоставленных для их размещения, в 2024 году по отношению к 2017 году на 3 единицы.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благоустроенных  индивидуальных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жилых домов и земельных участков, предоставленных для их размещения, в 2024 году по отношению к 2017 году на 3 единицы.</w:t>
            </w:r>
          </w:p>
        </w:tc>
        <w:tc>
          <w:tcPr>
            <w:tcW w:w="3402" w:type="dxa"/>
          </w:tcPr>
          <w:p w:rsidR="00F61F53" w:rsidRPr="00F61F53" w:rsidRDefault="00F61F53" w:rsidP="00F61F5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F53">
              <w:rPr>
                <w:rFonts w:ascii="Times New Roman" w:hAnsi="Times New Roman"/>
                <w:sz w:val="20"/>
                <w:szCs w:val="20"/>
              </w:rPr>
              <w:t xml:space="preserve">   увеличить количество </w:t>
            </w:r>
            <w:proofErr w:type="gramStart"/>
            <w:r w:rsidRPr="00F61F53">
              <w:rPr>
                <w:rFonts w:ascii="Times New Roman" w:hAnsi="Times New Roman"/>
                <w:sz w:val="20"/>
                <w:szCs w:val="20"/>
              </w:rPr>
              <w:t>благоустроенных  индивидуальных</w:t>
            </w:r>
            <w:proofErr w:type="gramEnd"/>
            <w:r w:rsidRPr="00F61F53">
              <w:rPr>
                <w:rFonts w:ascii="Times New Roman" w:hAnsi="Times New Roman"/>
                <w:sz w:val="20"/>
                <w:szCs w:val="20"/>
              </w:rPr>
              <w:t xml:space="preserve"> жилых домов и земельных участков, предоставленных для их размещения, в 2024 году по отношению к 2017 году на 3 единицы.</w:t>
            </w:r>
          </w:p>
        </w:tc>
      </w:tr>
    </w:tbl>
    <w:p w:rsidR="00557F29" w:rsidRDefault="00557F29" w:rsidP="004E1A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E1A0A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A0A">
        <w:rPr>
          <w:rFonts w:ascii="Times New Roman" w:hAnsi="Times New Roman"/>
          <w:sz w:val="24"/>
          <w:szCs w:val="24"/>
        </w:rPr>
        <w:t xml:space="preserve">достижения по </w:t>
      </w:r>
      <w:r>
        <w:rPr>
          <w:rFonts w:ascii="Times New Roman" w:hAnsi="Times New Roman"/>
          <w:sz w:val="24"/>
          <w:szCs w:val="24"/>
        </w:rPr>
        <w:t>всем</w:t>
      </w:r>
      <w:r w:rsidRPr="004E1A0A">
        <w:rPr>
          <w:rFonts w:ascii="Times New Roman" w:hAnsi="Times New Roman"/>
          <w:sz w:val="24"/>
          <w:szCs w:val="24"/>
        </w:rPr>
        <w:t xml:space="preserve"> целевым</w:t>
      </w:r>
      <w:r>
        <w:rPr>
          <w:rFonts w:ascii="Times New Roman" w:hAnsi="Times New Roman"/>
          <w:sz w:val="24"/>
          <w:szCs w:val="24"/>
        </w:rPr>
        <w:t xml:space="preserve"> показателям.</w:t>
      </w:r>
    </w:p>
    <w:p w:rsidR="00323199" w:rsidRDefault="004E1A0A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Ревизионная комиссия ВМР отмечает, что с каждым внесением изменений в муниципальную программу </w:t>
      </w:r>
      <w:r w:rsidR="00557F29">
        <w:rPr>
          <w:rFonts w:ascii="Times New Roman" w:hAnsi="Times New Roman"/>
          <w:sz w:val="24"/>
          <w:szCs w:val="24"/>
        </w:rPr>
        <w:t>замедляются темпы реализации программы. Ц</w:t>
      </w:r>
      <w:r>
        <w:rPr>
          <w:rFonts w:ascii="Times New Roman" w:hAnsi="Times New Roman"/>
          <w:sz w:val="24"/>
          <w:szCs w:val="24"/>
        </w:rPr>
        <w:t xml:space="preserve">елевые индикаторы (показатели) занижаются. Такая тенденция не способствует достижению целей и решению задач, утвержденных программой. </w:t>
      </w: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3958"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9D3829">
        <w:rPr>
          <w:rFonts w:ascii="Times New Roman" w:hAnsi="Times New Roman"/>
          <w:sz w:val="24"/>
          <w:szCs w:val="24"/>
        </w:rPr>
        <w:t xml:space="preserve"> цели предусмотрено реализация 5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B43958">
        <w:rPr>
          <w:rFonts w:ascii="Times New Roman" w:hAnsi="Times New Roman"/>
          <w:sz w:val="24"/>
          <w:szCs w:val="24"/>
          <w:u w:val="single"/>
        </w:rPr>
        <w:t>Основных мероприятий, которые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B43958"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F90814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постановления предлагается внести соответствующие изменения в Прило</w:t>
      </w:r>
      <w:r w:rsidR="004E1A0A">
        <w:rPr>
          <w:rFonts w:ascii="Times New Roman" w:hAnsi="Times New Roman"/>
          <w:sz w:val="24"/>
          <w:szCs w:val="24"/>
        </w:rPr>
        <w:t>жения к муниципальной программе.</w:t>
      </w:r>
    </w:p>
    <w:p w:rsidR="00557F29" w:rsidRDefault="002821D6" w:rsidP="00557F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решении о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>джете на 2022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>год 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(с изменениями)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proofErr w:type="gramEnd"/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сумме 4771,0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тыс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рублей</w:t>
      </w:r>
      <w:proofErr w:type="spellEnd"/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соответствует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проекту постановления. </w:t>
      </w:r>
    </w:p>
    <w:p w:rsidR="009F63EB" w:rsidRPr="006A0EE4" w:rsidRDefault="00EB57C5" w:rsidP="006A0E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отчета об испо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>лнении районного бюджета за 2021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исполнение меропр</w:t>
      </w:r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>иятий программы составило 4091,1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100,0 % уточненных </w:t>
      </w:r>
      <w:proofErr w:type="gramStart"/>
      <w:r w:rsidR="00557F29">
        <w:rPr>
          <w:rFonts w:ascii="Times New Roman" w:hAnsi="Times New Roman"/>
          <w:color w:val="000000"/>
          <w:sz w:val="24"/>
          <w:szCs w:val="24"/>
          <w:lang w:eastAsia="ru-RU"/>
        </w:rPr>
        <w:t>назначений.</w:t>
      </w:r>
      <w:r w:rsidR="006A0EE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EB57C5">
        <w:rPr>
          <w:rFonts w:ascii="Times New Roman" w:hAnsi="Times New Roman"/>
          <w:sz w:val="24"/>
          <w:szCs w:val="24"/>
        </w:rPr>
        <w:t xml:space="preserve">ция мероприятий </w:t>
      </w:r>
      <w:r w:rsidR="00557F29">
        <w:rPr>
          <w:rFonts w:ascii="Times New Roman" w:hAnsi="Times New Roman"/>
          <w:sz w:val="24"/>
          <w:szCs w:val="24"/>
        </w:rPr>
        <w:t>программы в 2022 – 2024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8A106C">
        <w:rPr>
          <w:rFonts w:ascii="Times New Roman" w:hAnsi="Times New Roman"/>
          <w:sz w:val="24"/>
          <w:szCs w:val="24"/>
        </w:rPr>
        <w:t>средств районного бюджета,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2D652F">
        <w:rPr>
          <w:rFonts w:ascii="Times New Roman" w:hAnsi="Times New Roman"/>
          <w:sz w:val="24"/>
          <w:szCs w:val="24"/>
        </w:rPr>
        <w:t xml:space="preserve"> и бюджетов </w:t>
      </w:r>
      <w:proofErr w:type="gramStart"/>
      <w:r w:rsidR="002D652F">
        <w:rPr>
          <w:rFonts w:ascii="Times New Roman" w:hAnsi="Times New Roman"/>
          <w:sz w:val="24"/>
          <w:szCs w:val="24"/>
        </w:rPr>
        <w:t>сельских поселений</w:t>
      </w:r>
      <w:proofErr w:type="gramEnd"/>
      <w:r w:rsidR="002D652F">
        <w:rPr>
          <w:rFonts w:ascii="Times New Roman" w:hAnsi="Times New Roman"/>
          <w:sz w:val="24"/>
          <w:szCs w:val="24"/>
        </w:rPr>
        <w:t xml:space="preserve"> участвующих в реализации программы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="00EB57C5" w:rsidRPr="00EB57C5">
        <w:rPr>
          <w:rFonts w:ascii="Times New Roman" w:hAnsi="Times New Roman"/>
          <w:sz w:val="24"/>
          <w:szCs w:val="24"/>
        </w:rPr>
        <w:t>«О внесении изменений</w:t>
      </w:r>
      <w:r w:rsidR="006A0EE4" w:rsidRPr="006A0EE4">
        <w:t xml:space="preserve"> </w:t>
      </w:r>
      <w:r w:rsidR="006A0EE4" w:rsidRPr="006A0EE4">
        <w:rPr>
          <w:rFonts w:ascii="Times New Roman" w:hAnsi="Times New Roman"/>
          <w:sz w:val="24"/>
          <w:szCs w:val="24"/>
        </w:rPr>
        <w:t>в муниципальную программу «Формирование современной го</w:t>
      </w:r>
      <w:r w:rsidR="006A0EE4">
        <w:rPr>
          <w:rFonts w:ascii="Times New Roman" w:hAnsi="Times New Roman"/>
          <w:sz w:val="24"/>
          <w:szCs w:val="24"/>
        </w:rPr>
        <w:t>родской среды на 2018-2024 годы</w:t>
      </w:r>
      <w:r w:rsidR="00EB57C5" w:rsidRPr="00EB57C5">
        <w:rPr>
          <w:rFonts w:ascii="Times New Roman" w:hAnsi="Times New Roman"/>
          <w:sz w:val="24"/>
          <w:szCs w:val="24"/>
        </w:rPr>
        <w:t>»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рекомендует </w:t>
      </w:r>
      <w:r w:rsidR="006A0EE4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прое</w:t>
      </w:r>
      <w:r w:rsidR="00557F29">
        <w:rPr>
          <w:rFonts w:ascii="Times New Roman" w:hAnsi="Times New Roman"/>
          <w:b/>
          <w:color w:val="000000"/>
          <w:sz w:val="24"/>
          <w:szCs w:val="24"/>
          <w:lang w:eastAsia="ru-RU"/>
        </w:rPr>
        <w:t>кт постановления к рассмотрению с учетом внесения изменений в количество целевых показателей программы или в количество показателей ожидаемых результатов.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557F29">
      <w:pgSz w:w="11906" w:h="16838"/>
      <w:pgMar w:top="1134" w:right="28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2958"/>
    <w:multiLevelType w:val="hybridMultilevel"/>
    <w:tmpl w:val="92C2BA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52F2"/>
    <w:rsid w:val="00096959"/>
    <w:rsid w:val="000A5D13"/>
    <w:rsid w:val="000B49A6"/>
    <w:rsid w:val="000C25A9"/>
    <w:rsid w:val="000D35E2"/>
    <w:rsid w:val="000D4A6A"/>
    <w:rsid w:val="000D610C"/>
    <w:rsid w:val="000F6CE6"/>
    <w:rsid w:val="0010728C"/>
    <w:rsid w:val="0011287C"/>
    <w:rsid w:val="00122521"/>
    <w:rsid w:val="001228A7"/>
    <w:rsid w:val="00132329"/>
    <w:rsid w:val="00140A20"/>
    <w:rsid w:val="00155483"/>
    <w:rsid w:val="0016291E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2319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750F7"/>
    <w:rsid w:val="00476C44"/>
    <w:rsid w:val="004C1627"/>
    <w:rsid w:val="004C31A2"/>
    <w:rsid w:val="004D1C04"/>
    <w:rsid w:val="004D35D3"/>
    <w:rsid w:val="004D797C"/>
    <w:rsid w:val="004E1A0A"/>
    <w:rsid w:val="005065BB"/>
    <w:rsid w:val="0051571B"/>
    <w:rsid w:val="005332D8"/>
    <w:rsid w:val="00543A75"/>
    <w:rsid w:val="00557F29"/>
    <w:rsid w:val="00576F9B"/>
    <w:rsid w:val="00593782"/>
    <w:rsid w:val="00593F03"/>
    <w:rsid w:val="00594E32"/>
    <w:rsid w:val="005950E5"/>
    <w:rsid w:val="005B0093"/>
    <w:rsid w:val="005B67DE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A0EE4"/>
    <w:rsid w:val="006A2641"/>
    <w:rsid w:val="006A6239"/>
    <w:rsid w:val="006C726E"/>
    <w:rsid w:val="006C784A"/>
    <w:rsid w:val="006F1777"/>
    <w:rsid w:val="006F4C1B"/>
    <w:rsid w:val="00712698"/>
    <w:rsid w:val="00721E80"/>
    <w:rsid w:val="00722B16"/>
    <w:rsid w:val="00731A4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65D33"/>
    <w:rsid w:val="009B04C3"/>
    <w:rsid w:val="009B6EE4"/>
    <w:rsid w:val="009C3598"/>
    <w:rsid w:val="009C76F4"/>
    <w:rsid w:val="009D2402"/>
    <w:rsid w:val="009D25CA"/>
    <w:rsid w:val="009D3829"/>
    <w:rsid w:val="009F1878"/>
    <w:rsid w:val="009F52E0"/>
    <w:rsid w:val="009F63EB"/>
    <w:rsid w:val="00A03A29"/>
    <w:rsid w:val="00A11FE7"/>
    <w:rsid w:val="00A5242D"/>
    <w:rsid w:val="00A67A23"/>
    <w:rsid w:val="00A71EC0"/>
    <w:rsid w:val="00A87655"/>
    <w:rsid w:val="00AA0374"/>
    <w:rsid w:val="00AB7465"/>
    <w:rsid w:val="00AC41B1"/>
    <w:rsid w:val="00AC58ED"/>
    <w:rsid w:val="00AD5F7F"/>
    <w:rsid w:val="00B156F0"/>
    <w:rsid w:val="00B21A64"/>
    <w:rsid w:val="00B274B7"/>
    <w:rsid w:val="00B4250C"/>
    <w:rsid w:val="00B43958"/>
    <w:rsid w:val="00B445EE"/>
    <w:rsid w:val="00B66A19"/>
    <w:rsid w:val="00B80327"/>
    <w:rsid w:val="00B8561C"/>
    <w:rsid w:val="00B9131B"/>
    <w:rsid w:val="00B9561C"/>
    <w:rsid w:val="00BA4FF3"/>
    <w:rsid w:val="00BB01E2"/>
    <w:rsid w:val="00BB46FB"/>
    <w:rsid w:val="00BC3893"/>
    <w:rsid w:val="00BC457A"/>
    <w:rsid w:val="00BD11DF"/>
    <w:rsid w:val="00BE3F1D"/>
    <w:rsid w:val="00BE50AA"/>
    <w:rsid w:val="00C0415F"/>
    <w:rsid w:val="00C04A9E"/>
    <w:rsid w:val="00C20C87"/>
    <w:rsid w:val="00C27FF3"/>
    <w:rsid w:val="00C64EDE"/>
    <w:rsid w:val="00C93AEB"/>
    <w:rsid w:val="00C9509C"/>
    <w:rsid w:val="00CA5E03"/>
    <w:rsid w:val="00CC54C1"/>
    <w:rsid w:val="00CD6D09"/>
    <w:rsid w:val="00CF348A"/>
    <w:rsid w:val="00CF5D67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C6637"/>
    <w:rsid w:val="00DE4715"/>
    <w:rsid w:val="00DE6310"/>
    <w:rsid w:val="00DE69FE"/>
    <w:rsid w:val="00DE773F"/>
    <w:rsid w:val="00E02259"/>
    <w:rsid w:val="00E026E8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E7FFC"/>
    <w:rsid w:val="00EF03B0"/>
    <w:rsid w:val="00EF1FD5"/>
    <w:rsid w:val="00EF6D22"/>
    <w:rsid w:val="00F06108"/>
    <w:rsid w:val="00F170F5"/>
    <w:rsid w:val="00F21D92"/>
    <w:rsid w:val="00F228EB"/>
    <w:rsid w:val="00F3676A"/>
    <w:rsid w:val="00F401E3"/>
    <w:rsid w:val="00F43AA2"/>
    <w:rsid w:val="00F5502C"/>
    <w:rsid w:val="00F55F4B"/>
    <w:rsid w:val="00F609F5"/>
    <w:rsid w:val="00F6151E"/>
    <w:rsid w:val="00F61F53"/>
    <w:rsid w:val="00F64173"/>
    <w:rsid w:val="00F75B2C"/>
    <w:rsid w:val="00F75D74"/>
    <w:rsid w:val="00F806CE"/>
    <w:rsid w:val="00F80C21"/>
    <w:rsid w:val="00F80DE7"/>
    <w:rsid w:val="00F8640C"/>
    <w:rsid w:val="00F90814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C1B731838DFEDF1AAB64AD1B4C41484755F732B9B20CEB632305B09AE77CD29241F09D475D502EABC605FDK4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44A5-C588-43AD-9ABA-46A3AF84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4</cp:revision>
  <cp:lastPrinted>2021-03-29T13:34:00Z</cp:lastPrinted>
  <dcterms:created xsi:type="dcterms:W3CDTF">2022-05-13T11:14:00Z</dcterms:created>
  <dcterms:modified xsi:type="dcterms:W3CDTF">2022-06-01T11:20:00Z</dcterms:modified>
</cp:coreProperties>
</file>