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bookmarkStart w:id="0" w:name="_GoBack"/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503EFD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56A4D">
        <w:rPr>
          <w:rFonts w:ascii="Times New Roman" w:hAnsi="Times New Roman"/>
          <w:sz w:val="28"/>
          <w:szCs w:val="28"/>
        </w:rPr>
        <w:t>.</w:t>
      </w:r>
      <w:r w:rsidR="001C59E6">
        <w:rPr>
          <w:rFonts w:ascii="Times New Roman" w:hAnsi="Times New Roman"/>
          <w:sz w:val="28"/>
          <w:szCs w:val="28"/>
        </w:rPr>
        <w:t>11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</w:t>
      </w:r>
      <w:r w:rsidR="00525EAC">
        <w:rPr>
          <w:rFonts w:ascii="Times New Roman" w:hAnsi="Times New Roman"/>
          <w:sz w:val="28"/>
          <w:szCs w:val="28"/>
        </w:rPr>
        <w:t>6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21</w:t>
      </w:r>
      <w:r w:rsidR="00525EAC" w:rsidRPr="00A62ACA">
        <w:rPr>
          <w:rFonts w:ascii="Times New Roman" w:hAnsi="Times New Roman"/>
          <w:sz w:val="28"/>
          <w:szCs w:val="28"/>
        </w:rPr>
        <w:t xml:space="preserve"> № </w:t>
      </w:r>
      <w:r w:rsidR="00525EAC">
        <w:rPr>
          <w:rFonts w:ascii="Times New Roman" w:hAnsi="Times New Roman"/>
          <w:sz w:val="28"/>
          <w:szCs w:val="28"/>
        </w:rPr>
        <w:t>263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525EAC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16.12.2021 года № 263 «О бюджете сельского поселения Андомское на 2022 год и плановый период 2023 и 2024 годов».   </w:t>
      </w:r>
    </w:p>
    <w:p w:rsidR="00476917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</w:t>
      </w:r>
      <w:r w:rsidR="001723C3">
        <w:rPr>
          <w:rFonts w:ascii="Times New Roman" w:hAnsi="Times New Roman"/>
          <w:sz w:val="28"/>
          <w:szCs w:val="28"/>
        </w:rPr>
        <w:t xml:space="preserve">редлагается </w:t>
      </w:r>
      <w:r>
        <w:rPr>
          <w:rFonts w:ascii="Times New Roman" w:hAnsi="Times New Roman"/>
          <w:sz w:val="28"/>
          <w:szCs w:val="28"/>
        </w:rPr>
        <w:t xml:space="preserve">внести изменения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5027A8">
        <w:rPr>
          <w:rFonts w:ascii="Times New Roman" w:hAnsi="Times New Roman"/>
          <w:sz w:val="28"/>
          <w:szCs w:val="28"/>
        </w:rPr>
        <w:t>.</w:t>
      </w:r>
    </w:p>
    <w:p w:rsidR="00525EAC" w:rsidRDefault="00525EAC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на 2022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p w:rsidR="00525EAC" w:rsidRPr="005027A8" w:rsidRDefault="00904E7B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27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027A8" w:rsidRPr="005027A8">
        <w:rPr>
          <w:rFonts w:ascii="Times New Roman" w:hAnsi="Times New Roman"/>
          <w:sz w:val="20"/>
          <w:szCs w:val="20"/>
        </w:rPr>
        <w:t xml:space="preserve">(тыс. рублей)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1C59E6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5" w:type="dxa"/>
            <w:hideMark/>
          </w:tcPr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16.12.21 № 263</w:t>
            </w:r>
          </w:p>
        </w:tc>
        <w:tc>
          <w:tcPr>
            <w:tcW w:w="1675" w:type="dxa"/>
            <w:hideMark/>
          </w:tcPr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1C59E6" w:rsidRDefault="00525EAC" w:rsidP="00DE25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1C59E6" w:rsidRPr="001C59E6" w:rsidTr="001C59E6">
        <w:trPr>
          <w:trHeight w:val="187"/>
        </w:trPr>
        <w:tc>
          <w:tcPr>
            <w:tcW w:w="3618" w:type="dxa"/>
            <w:noWrap/>
            <w:hideMark/>
          </w:tcPr>
          <w:p w:rsidR="001C59E6" w:rsidRPr="001C59E6" w:rsidRDefault="001C59E6" w:rsidP="001C59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48403,4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58250,3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20,3%</w:t>
            </w:r>
          </w:p>
        </w:tc>
      </w:tr>
      <w:tr w:rsidR="001C59E6" w:rsidRPr="001C59E6" w:rsidTr="001C59E6">
        <w:trPr>
          <w:trHeight w:val="110"/>
        </w:trPr>
        <w:tc>
          <w:tcPr>
            <w:tcW w:w="3618" w:type="dxa"/>
            <w:noWrap/>
            <w:hideMark/>
          </w:tcPr>
          <w:p w:rsidR="001C59E6" w:rsidRPr="001C59E6" w:rsidRDefault="001C59E6" w:rsidP="001C59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color w:val="000000"/>
                <w:sz w:val="16"/>
                <w:szCs w:val="16"/>
              </w:rPr>
              <w:t>2099,0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color w:val="000000"/>
                <w:sz w:val="16"/>
                <w:szCs w:val="16"/>
              </w:rPr>
              <w:t>2099,0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1C59E6" w:rsidRPr="001C59E6" w:rsidTr="001C59E6">
        <w:trPr>
          <w:trHeight w:val="60"/>
        </w:trPr>
        <w:tc>
          <w:tcPr>
            <w:tcW w:w="3618" w:type="dxa"/>
            <w:noWrap/>
            <w:hideMark/>
          </w:tcPr>
          <w:p w:rsidR="001C59E6" w:rsidRPr="001C59E6" w:rsidRDefault="001C59E6" w:rsidP="001C59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color w:val="000000"/>
                <w:sz w:val="16"/>
                <w:szCs w:val="16"/>
              </w:rPr>
              <w:t>46304,4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color w:val="000000"/>
                <w:sz w:val="16"/>
                <w:szCs w:val="16"/>
              </w:rPr>
              <w:t>56151,3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9E6" w:rsidRPr="001C59E6" w:rsidRDefault="001C59E6" w:rsidP="001C5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21,3%</w:t>
            </w:r>
          </w:p>
        </w:tc>
      </w:tr>
      <w:tr w:rsidR="00476917" w:rsidRPr="001C59E6" w:rsidTr="001C59E6">
        <w:trPr>
          <w:trHeight w:val="130"/>
        </w:trPr>
        <w:tc>
          <w:tcPr>
            <w:tcW w:w="3618" w:type="dxa"/>
            <w:noWrap/>
            <w:hideMark/>
          </w:tcPr>
          <w:p w:rsidR="00476917" w:rsidRPr="001C59E6" w:rsidRDefault="00476917" w:rsidP="004769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1C59E6" w:rsidRDefault="001C59E6" w:rsidP="001C59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49091,7</w:t>
            </w:r>
          </w:p>
        </w:tc>
        <w:tc>
          <w:tcPr>
            <w:tcW w:w="1675" w:type="dxa"/>
            <w:noWrap/>
          </w:tcPr>
          <w:p w:rsidR="00476917" w:rsidRPr="001C59E6" w:rsidRDefault="001C59E6" w:rsidP="001C59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58938,6</w:t>
            </w:r>
          </w:p>
        </w:tc>
        <w:tc>
          <w:tcPr>
            <w:tcW w:w="1257" w:type="dxa"/>
            <w:noWrap/>
          </w:tcPr>
          <w:p w:rsidR="00476917" w:rsidRPr="001C59E6" w:rsidRDefault="00476917" w:rsidP="005027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="005027A8" w:rsidRPr="001C59E6">
              <w:rPr>
                <w:rFonts w:ascii="Times New Roman" w:hAnsi="Times New Roman"/>
                <w:b/>
                <w:sz w:val="16"/>
                <w:szCs w:val="16"/>
              </w:rPr>
              <w:t>5796,9</w:t>
            </w:r>
          </w:p>
        </w:tc>
        <w:tc>
          <w:tcPr>
            <w:tcW w:w="1120" w:type="dxa"/>
            <w:noWrap/>
            <w:hideMark/>
          </w:tcPr>
          <w:p w:rsidR="00476917" w:rsidRPr="001C59E6" w:rsidRDefault="00476917" w:rsidP="001C59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="001C59E6" w:rsidRPr="001C59E6">
              <w:rPr>
                <w:rFonts w:ascii="Times New Roman" w:hAnsi="Times New Roman"/>
                <w:b/>
                <w:sz w:val="16"/>
                <w:szCs w:val="16"/>
              </w:rPr>
              <w:t>20,1%</w:t>
            </w:r>
          </w:p>
        </w:tc>
      </w:tr>
      <w:tr w:rsidR="00476917" w:rsidRPr="001C59E6" w:rsidTr="001C59E6">
        <w:trPr>
          <w:trHeight w:val="86"/>
        </w:trPr>
        <w:tc>
          <w:tcPr>
            <w:tcW w:w="3618" w:type="dxa"/>
            <w:noWrap/>
            <w:hideMark/>
          </w:tcPr>
          <w:p w:rsidR="00476917" w:rsidRPr="001C59E6" w:rsidRDefault="00476917" w:rsidP="004769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1C59E6" w:rsidRDefault="00476917" w:rsidP="005027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027A8" w:rsidRPr="001C59E6">
              <w:rPr>
                <w:rFonts w:ascii="Times New Roman" w:hAnsi="Times New Roman"/>
                <w:b/>
                <w:sz w:val="16"/>
                <w:szCs w:val="16"/>
              </w:rPr>
              <w:t>688,3</w:t>
            </w:r>
          </w:p>
        </w:tc>
        <w:tc>
          <w:tcPr>
            <w:tcW w:w="1675" w:type="dxa"/>
            <w:noWrap/>
          </w:tcPr>
          <w:p w:rsidR="00476917" w:rsidRPr="001C59E6" w:rsidRDefault="00476917" w:rsidP="00535AB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35AB6" w:rsidRPr="001C59E6">
              <w:rPr>
                <w:rFonts w:ascii="Times New Roman" w:hAnsi="Times New Roman"/>
                <w:b/>
                <w:sz w:val="16"/>
                <w:szCs w:val="16"/>
              </w:rPr>
              <w:t>688,3</w:t>
            </w:r>
          </w:p>
        </w:tc>
        <w:tc>
          <w:tcPr>
            <w:tcW w:w="1257" w:type="dxa"/>
            <w:noWrap/>
          </w:tcPr>
          <w:p w:rsidR="00476917" w:rsidRPr="001C59E6" w:rsidRDefault="001C59E6" w:rsidP="000500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9E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20" w:type="dxa"/>
            <w:noWrap/>
          </w:tcPr>
          <w:p w:rsidR="00476917" w:rsidRPr="001C59E6" w:rsidRDefault="00476917" w:rsidP="004769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24752" w:rsidRDefault="00424752" w:rsidP="000500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1C59E6">
        <w:rPr>
          <w:rFonts w:ascii="Times New Roman" w:hAnsi="Times New Roman"/>
          <w:sz w:val="28"/>
          <w:szCs w:val="28"/>
        </w:rPr>
        <w:t xml:space="preserve">9846,9 </w:t>
      </w:r>
      <w:r>
        <w:rPr>
          <w:rFonts w:ascii="Times New Roman" w:hAnsi="Times New Roman"/>
          <w:sz w:val="28"/>
          <w:szCs w:val="28"/>
        </w:rPr>
        <w:t>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535AB6">
        <w:rPr>
          <w:rFonts w:ascii="Times New Roman" w:hAnsi="Times New Roman"/>
          <w:sz w:val="28"/>
          <w:szCs w:val="28"/>
        </w:rPr>
        <w:t xml:space="preserve"> </w:t>
      </w:r>
      <w:r w:rsidR="001C59E6">
        <w:rPr>
          <w:rFonts w:ascii="Times New Roman" w:hAnsi="Times New Roman"/>
          <w:sz w:val="28"/>
          <w:szCs w:val="28"/>
        </w:rPr>
        <w:t>20,3</w:t>
      </w:r>
      <w:r w:rsidR="005027A8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) за счет поступления </w:t>
      </w:r>
      <w:r w:rsidR="005027A8">
        <w:rPr>
          <w:rFonts w:ascii="Times New Roman" w:hAnsi="Times New Roman"/>
          <w:sz w:val="28"/>
          <w:szCs w:val="28"/>
        </w:rPr>
        <w:t>прочих безвозмездных поступлений</w:t>
      </w:r>
      <w:r w:rsidR="001C59E6">
        <w:rPr>
          <w:rFonts w:ascii="Times New Roman" w:hAnsi="Times New Roman"/>
          <w:sz w:val="28"/>
          <w:szCs w:val="28"/>
        </w:rPr>
        <w:t>, в том числе</w:t>
      </w:r>
      <w:r w:rsidR="001C59E6" w:rsidRPr="001C59E6">
        <w:rPr>
          <w:rFonts w:ascii="Times New Roman" w:hAnsi="Times New Roman"/>
          <w:sz w:val="28"/>
          <w:szCs w:val="28"/>
        </w:rPr>
        <w:t>:</w:t>
      </w:r>
      <w:r w:rsidR="001C59E6">
        <w:rPr>
          <w:rFonts w:ascii="Times New Roman" w:hAnsi="Times New Roman"/>
          <w:sz w:val="28"/>
          <w:szCs w:val="28"/>
        </w:rPr>
        <w:t xml:space="preserve"> дотации на поддержку мер по обеспечению сбалансированности бюджетов – 718,6 тыс. рублей, прочие субсидии – 14909,3 тыс. рублей, субвенции на осуществление первичного воинского учета – 15,9 тыс. рублей. </w:t>
      </w:r>
      <w:r w:rsidR="007538E1">
        <w:rPr>
          <w:rFonts w:ascii="Times New Roman" w:hAnsi="Times New Roman"/>
          <w:sz w:val="28"/>
          <w:szCs w:val="28"/>
        </w:rPr>
        <w:t xml:space="preserve">Уточняются источники финансирования расходов на </w:t>
      </w:r>
      <w:r w:rsidR="007538E1">
        <w:rPr>
          <w:rFonts w:ascii="Times New Roman" w:hAnsi="Times New Roman"/>
          <w:sz w:val="28"/>
          <w:szCs w:val="28"/>
        </w:rPr>
        <w:t>софинансирование мероприятий по капитальному ремонту объектов культуры</w:t>
      </w:r>
      <w:r w:rsidR="007538E1">
        <w:rPr>
          <w:rFonts w:ascii="Times New Roman" w:hAnsi="Times New Roman"/>
          <w:sz w:val="28"/>
          <w:szCs w:val="28"/>
        </w:rPr>
        <w:t xml:space="preserve"> (б</w:t>
      </w:r>
      <w:r w:rsidR="001C59E6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 уменьшаются на 5796,9 тыс. рублей</w:t>
      </w:r>
      <w:r w:rsidR="007538E1">
        <w:rPr>
          <w:rFonts w:ascii="Times New Roman" w:hAnsi="Times New Roman"/>
          <w:sz w:val="28"/>
          <w:szCs w:val="28"/>
        </w:rPr>
        <w:t>)</w:t>
      </w:r>
      <w:r w:rsidR="001C59E6">
        <w:rPr>
          <w:rFonts w:ascii="Times New Roman" w:hAnsi="Times New Roman"/>
          <w:sz w:val="28"/>
          <w:szCs w:val="28"/>
        </w:rPr>
        <w:t xml:space="preserve">. </w:t>
      </w:r>
      <w:r w:rsidR="00881F3D">
        <w:rPr>
          <w:rFonts w:ascii="Times New Roman" w:hAnsi="Times New Roman"/>
          <w:iCs/>
          <w:sz w:val="28"/>
          <w:szCs w:val="28"/>
        </w:rPr>
        <w:t>Общий объем безвозмездных поступлений</w:t>
      </w:r>
      <w:r w:rsidR="001C59E6">
        <w:rPr>
          <w:rFonts w:ascii="Times New Roman" w:hAnsi="Times New Roman"/>
          <w:iCs/>
          <w:sz w:val="28"/>
          <w:szCs w:val="28"/>
        </w:rPr>
        <w:t xml:space="preserve"> с учетом изменений</w:t>
      </w:r>
      <w:r w:rsidR="00881F3D">
        <w:rPr>
          <w:rFonts w:ascii="Times New Roman" w:hAnsi="Times New Roman"/>
          <w:iCs/>
          <w:sz w:val="28"/>
          <w:szCs w:val="28"/>
        </w:rPr>
        <w:t xml:space="preserve"> составит </w:t>
      </w:r>
      <w:r w:rsidR="00E73A21">
        <w:rPr>
          <w:rFonts w:ascii="Times New Roman" w:hAnsi="Times New Roman"/>
          <w:iCs/>
          <w:sz w:val="28"/>
          <w:szCs w:val="28"/>
        </w:rPr>
        <w:t>56151,3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881F3D"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 w:rsidR="00525EAC">
        <w:rPr>
          <w:rFonts w:ascii="Times New Roman" w:hAnsi="Times New Roman"/>
          <w:sz w:val="28"/>
          <w:szCs w:val="28"/>
        </w:rPr>
        <w:t>9</w:t>
      </w:r>
      <w:r w:rsidR="00E73A21">
        <w:rPr>
          <w:rFonts w:ascii="Times New Roman" w:hAnsi="Times New Roman"/>
          <w:sz w:val="28"/>
          <w:szCs w:val="28"/>
        </w:rPr>
        <w:t>6,4</w:t>
      </w:r>
      <w:r w:rsidR="00881F3D">
        <w:rPr>
          <w:rFonts w:ascii="Times New Roman" w:hAnsi="Times New Roman"/>
          <w:sz w:val="28"/>
          <w:szCs w:val="28"/>
        </w:rPr>
        <w:t xml:space="preserve"> %.</w:t>
      </w:r>
      <w:r w:rsidR="00E73A21">
        <w:rPr>
          <w:rFonts w:ascii="Times New Roman" w:hAnsi="Times New Roman"/>
          <w:sz w:val="28"/>
          <w:szCs w:val="28"/>
        </w:rPr>
        <w:t xml:space="preserve"> Доля налоговых и неналоговых доходов – 3,6 %. </w:t>
      </w:r>
    </w:p>
    <w:p w:rsidR="00AC0752" w:rsidRDefault="00904E7B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5027A8">
        <w:rPr>
          <w:rFonts w:ascii="Times New Roman" w:hAnsi="Times New Roman"/>
          <w:sz w:val="28"/>
          <w:szCs w:val="28"/>
        </w:rPr>
        <w:t>сумму поступлений доходов и</w:t>
      </w:r>
      <w:r w:rsidR="003E45B7" w:rsidRPr="003E45B7">
        <w:rPr>
          <w:rFonts w:ascii="Times New Roman" w:hAnsi="Times New Roman"/>
          <w:sz w:val="28"/>
          <w:szCs w:val="28"/>
        </w:rPr>
        <w:t xml:space="preserve"> составит </w:t>
      </w:r>
      <w:r w:rsidR="00E73A21">
        <w:rPr>
          <w:rFonts w:ascii="Times New Roman" w:hAnsi="Times New Roman"/>
          <w:sz w:val="28"/>
          <w:szCs w:val="28"/>
        </w:rPr>
        <w:t>58938,6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752" w:rsidRPr="00AC0752" w:rsidRDefault="00904E7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0752">
        <w:rPr>
          <w:rFonts w:ascii="Times New Roman" w:hAnsi="Times New Roman"/>
          <w:sz w:val="28"/>
          <w:szCs w:val="28"/>
        </w:rPr>
        <w:t xml:space="preserve">      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 w:rsidR="005027A8">
        <w:rPr>
          <w:rFonts w:ascii="Times New Roman" w:hAnsi="Times New Roman"/>
          <w:sz w:val="28"/>
          <w:szCs w:val="28"/>
        </w:rPr>
        <w:t>останется без изменений</w:t>
      </w:r>
      <w:r w:rsidR="0005000D">
        <w:rPr>
          <w:rFonts w:ascii="Times New Roman" w:hAnsi="Times New Roman"/>
          <w:sz w:val="28"/>
          <w:szCs w:val="28"/>
        </w:rPr>
        <w:t xml:space="preserve">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</w:p>
    <w:p w:rsidR="003E45B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8753A4" w:rsidRDefault="008753A4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753A4">
        <w:rPr>
          <w:rFonts w:ascii="Times New Roman" w:hAnsi="Times New Roman"/>
          <w:sz w:val="28"/>
          <w:szCs w:val="28"/>
        </w:rPr>
        <w:t xml:space="preserve">За счет дополнительно поступивших субсидий из областного бюджета в сумме </w:t>
      </w:r>
      <w:r>
        <w:rPr>
          <w:rFonts w:ascii="Times New Roman" w:hAnsi="Times New Roman"/>
          <w:sz w:val="28"/>
          <w:szCs w:val="28"/>
        </w:rPr>
        <w:t>14909,3</w:t>
      </w:r>
      <w:r w:rsidR="004D3DD0">
        <w:rPr>
          <w:rFonts w:ascii="Times New Roman" w:hAnsi="Times New Roman"/>
          <w:sz w:val="28"/>
          <w:szCs w:val="28"/>
        </w:rPr>
        <w:t xml:space="preserve"> </w:t>
      </w:r>
      <w:r w:rsidRPr="008753A4">
        <w:rPr>
          <w:rFonts w:ascii="Times New Roman" w:hAnsi="Times New Roman"/>
          <w:sz w:val="28"/>
          <w:szCs w:val="28"/>
        </w:rPr>
        <w:t>тыс. рублей будут увеличены расходы на реализацию</w:t>
      </w:r>
      <w:r w:rsidR="004D3DD0">
        <w:rPr>
          <w:rFonts w:ascii="Times New Roman" w:hAnsi="Times New Roman"/>
          <w:sz w:val="28"/>
          <w:szCs w:val="28"/>
        </w:rPr>
        <w:t xml:space="preserve"> мероприятий по капитальному ремонту объектов культуры по подразделу </w:t>
      </w:r>
      <w:r w:rsidR="004D3DD0" w:rsidRPr="004D3DD0">
        <w:rPr>
          <w:rFonts w:ascii="Times New Roman" w:hAnsi="Times New Roman"/>
          <w:i/>
          <w:sz w:val="28"/>
          <w:szCs w:val="28"/>
        </w:rPr>
        <w:t>0801 «Культура»</w:t>
      </w:r>
      <w:r w:rsidR="004D3DD0">
        <w:rPr>
          <w:rFonts w:ascii="Times New Roman" w:hAnsi="Times New Roman"/>
          <w:sz w:val="28"/>
          <w:szCs w:val="28"/>
        </w:rPr>
        <w:t xml:space="preserve"> раздела 08 «Культура, кинематография». </w:t>
      </w:r>
    </w:p>
    <w:p w:rsidR="004D3DD0" w:rsidRDefault="004D3DD0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Поступившие средства субвенции</w:t>
      </w:r>
      <w:r w:rsidRPr="004D3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осуществление первичного воинского учета</w:t>
      </w:r>
      <w:r>
        <w:rPr>
          <w:rFonts w:ascii="Times New Roman" w:hAnsi="Times New Roman"/>
          <w:sz w:val="28"/>
          <w:szCs w:val="28"/>
        </w:rPr>
        <w:t xml:space="preserve"> в сумме 15,9 тыс. рублей будут направлены на увеличение расходов на выплаты сотруднику, </w:t>
      </w:r>
      <w:r w:rsidRPr="004D3DD0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ему</w:t>
      </w:r>
      <w:r w:rsidRPr="004D3DD0">
        <w:rPr>
          <w:rFonts w:ascii="Times New Roman" w:hAnsi="Times New Roman"/>
          <w:sz w:val="28"/>
          <w:szCs w:val="28"/>
        </w:rPr>
        <w:t xml:space="preserve"> воинский учет</w:t>
      </w:r>
      <w:r w:rsidR="007538E1">
        <w:rPr>
          <w:rFonts w:ascii="Times New Roman" w:hAnsi="Times New Roman"/>
          <w:sz w:val="28"/>
          <w:szCs w:val="28"/>
        </w:rPr>
        <w:t xml:space="preserve"> (</w:t>
      </w:r>
      <w:r w:rsidR="007538E1" w:rsidRPr="007538E1">
        <w:rPr>
          <w:rFonts w:ascii="Times New Roman" w:hAnsi="Times New Roman"/>
          <w:i/>
          <w:sz w:val="28"/>
          <w:szCs w:val="28"/>
        </w:rPr>
        <w:t>подраздел 0203 «Мобилизационная и вневойсковая подготовка»</w:t>
      </w:r>
      <w:r w:rsidR="007538E1">
        <w:rPr>
          <w:rFonts w:ascii="Times New Roman" w:hAnsi="Times New Roman"/>
          <w:sz w:val="28"/>
          <w:szCs w:val="28"/>
        </w:rPr>
        <w:t xml:space="preserve"> раздела 02 «</w:t>
      </w:r>
      <w:r w:rsidR="007538E1" w:rsidRPr="007538E1">
        <w:rPr>
          <w:rFonts w:ascii="Times New Roman" w:hAnsi="Times New Roman"/>
          <w:sz w:val="28"/>
          <w:szCs w:val="28"/>
        </w:rPr>
        <w:t>Национальная оборона</w:t>
      </w:r>
      <w:r w:rsidR="007538E1">
        <w:rPr>
          <w:rFonts w:ascii="Times New Roman" w:hAnsi="Times New Roman"/>
          <w:sz w:val="28"/>
          <w:szCs w:val="28"/>
        </w:rPr>
        <w:t>»).</w:t>
      </w:r>
    </w:p>
    <w:p w:rsidR="004D3DD0" w:rsidRDefault="000E1607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7E1AE7" w:rsidRPr="008753A4">
        <w:rPr>
          <w:rFonts w:ascii="Times New Roman" w:hAnsi="Times New Roman"/>
          <w:sz w:val="28"/>
          <w:szCs w:val="28"/>
        </w:rPr>
        <w:t>За счет поступ</w:t>
      </w:r>
      <w:r w:rsidR="008753A4">
        <w:rPr>
          <w:rFonts w:ascii="Times New Roman" w:hAnsi="Times New Roman"/>
          <w:sz w:val="28"/>
          <w:szCs w:val="28"/>
        </w:rPr>
        <w:t xml:space="preserve">ления </w:t>
      </w:r>
      <w:r w:rsidR="004D3DD0">
        <w:rPr>
          <w:rFonts w:ascii="Times New Roman" w:hAnsi="Times New Roman"/>
          <w:sz w:val="28"/>
          <w:szCs w:val="28"/>
        </w:rPr>
        <w:t>дотаци</w:t>
      </w:r>
      <w:r w:rsidR="004D3DD0">
        <w:rPr>
          <w:rFonts w:ascii="Times New Roman" w:hAnsi="Times New Roman"/>
          <w:sz w:val="28"/>
          <w:szCs w:val="28"/>
        </w:rPr>
        <w:t>й</w:t>
      </w:r>
      <w:r w:rsidR="004D3DD0"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бюджетов</w:t>
      </w:r>
      <w:r w:rsidR="007538E1">
        <w:rPr>
          <w:rFonts w:ascii="Times New Roman" w:hAnsi="Times New Roman"/>
          <w:sz w:val="28"/>
          <w:szCs w:val="28"/>
        </w:rPr>
        <w:t xml:space="preserve"> в сумме 718,6 тыс. рублей</w:t>
      </w:r>
      <w:r w:rsidR="004D3DD0">
        <w:rPr>
          <w:rFonts w:ascii="Times New Roman" w:hAnsi="Times New Roman"/>
          <w:sz w:val="28"/>
          <w:szCs w:val="28"/>
        </w:rPr>
        <w:t xml:space="preserve"> предлагается увеличить расходы</w:t>
      </w:r>
      <w:r w:rsidR="004D3DD0" w:rsidRPr="004D3DD0">
        <w:rPr>
          <w:rFonts w:ascii="Times New Roman" w:hAnsi="Times New Roman"/>
          <w:sz w:val="28"/>
          <w:szCs w:val="28"/>
        </w:rPr>
        <w:t>:</w:t>
      </w:r>
      <w:r w:rsidR="004D3DD0">
        <w:rPr>
          <w:rFonts w:ascii="Times New Roman" w:hAnsi="Times New Roman"/>
          <w:sz w:val="28"/>
          <w:szCs w:val="28"/>
        </w:rPr>
        <w:t xml:space="preserve"> </w:t>
      </w:r>
    </w:p>
    <w:p w:rsidR="008753A4" w:rsidRDefault="004D3DD0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выплаты Главе поселения в сумме 93,0 тыс. рублей</w:t>
      </w:r>
      <w:r w:rsidRPr="004D3DD0">
        <w:rPr>
          <w:rFonts w:ascii="Times New Roman" w:hAnsi="Times New Roman"/>
          <w:sz w:val="28"/>
          <w:szCs w:val="28"/>
        </w:rPr>
        <w:t xml:space="preserve"> (</w:t>
      </w:r>
      <w:r w:rsidRPr="00E5684C">
        <w:rPr>
          <w:rFonts w:ascii="Times New Roman" w:hAnsi="Times New Roman"/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раздела 01 «Общегосударственные вопросы»)</w:t>
      </w:r>
      <w:r w:rsidRPr="004D3DD0">
        <w:rPr>
          <w:rFonts w:ascii="Times New Roman" w:hAnsi="Times New Roman"/>
          <w:sz w:val="28"/>
          <w:szCs w:val="28"/>
        </w:rPr>
        <w:t>;</w:t>
      </w:r>
    </w:p>
    <w:p w:rsidR="00E5684C" w:rsidRDefault="004D3DD0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E5684C">
        <w:rPr>
          <w:rFonts w:ascii="Times New Roman" w:hAnsi="Times New Roman"/>
          <w:sz w:val="28"/>
          <w:szCs w:val="28"/>
        </w:rPr>
        <w:t>на обеспечение деятельности Администрации поселения в сумме 132,5 тыс. рублей, в том числе</w:t>
      </w:r>
      <w:r w:rsidR="00E5684C" w:rsidRPr="00E5684C">
        <w:rPr>
          <w:rFonts w:ascii="Times New Roman" w:hAnsi="Times New Roman"/>
          <w:sz w:val="28"/>
          <w:szCs w:val="28"/>
        </w:rPr>
        <w:t>:</w:t>
      </w:r>
      <w:r w:rsidR="00E5684C">
        <w:rPr>
          <w:rFonts w:ascii="Times New Roman" w:hAnsi="Times New Roman"/>
          <w:sz w:val="28"/>
          <w:szCs w:val="28"/>
        </w:rPr>
        <w:t xml:space="preserve"> на выплаты персоналу - </w:t>
      </w:r>
      <w:r w:rsidR="00E5684C">
        <w:rPr>
          <w:rFonts w:ascii="Times New Roman" w:hAnsi="Times New Roman"/>
          <w:sz w:val="28"/>
          <w:szCs w:val="28"/>
        </w:rPr>
        <w:t>32,3 тыс. рублей</w:t>
      </w:r>
      <w:r w:rsidR="00E5684C">
        <w:rPr>
          <w:rFonts w:ascii="Times New Roman" w:hAnsi="Times New Roman"/>
          <w:sz w:val="28"/>
          <w:szCs w:val="28"/>
        </w:rPr>
        <w:t xml:space="preserve">, на закупки товаров, работ, услуг - </w:t>
      </w:r>
      <w:r w:rsidR="00E5684C">
        <w:rPr>
          <w:rFonts w:ascii="Times New Roman" w:hAnsi="Times New Roman"/>
          <w:sz w:val="28"/>
          <w:szCs w:val="28"/>
        </w:rPr>
        <w:t>100,2 тыс. рублей</w:t>
      </w:r>
      <w:r w:rsidR="00E5684C" w:rsidRPr="00E5684C">
        <w:rPr>
          <w:rFonts w:ascii="Times New Roman" w:hAnsi="Times New Roman"/>
          <w:sz w:val="28"/>
          <w:szCs w:val="28"/>
        </w:rPr>
        <w:t xml:space="preserve"> (</w:t>
      </w:r>
      <w:r w:rsidR="00E5684C" w:rsidRPr="00E5684C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администрации»);</w:t>
      </w:r>
    </w:p>
    <w:p w:rsidR="004D3DD0" w:rsidRDefault="00E5684C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на прочие мероприятия по благоустройству в сумме 50,0 тыс. рублей (</w:t>
      </w:r>
      <w:r w:rsidRPr="00E5684C">
        <w:rPr>
          <w:rFonts w:ascii="Times New Roman" w:hAnsi="Times New Roman"/>
          <w:i/>
          <w:sz w:val="28"/>
          <w:szCs w:val="28"/>
        </w:rPr>
        <w:t>подраздел 0503 «Благоустройство»</w:t>
      </w:r>
      <w:r>
        <w:rPr>
          <w:rFonts w:ascii="Times New Roman" w:hAnsi="Times New Roman"/>
          <w:sz w:val="28"/>
          <w:szCs w:val="28"/>
        </w:rPr>
        <w:t xml:space="preserve"> раздела 05 «Жилищно – коммунальное хозяйство»)</w:t>
      </w:r>
      <w:r w:rsidRPr="00E5684C">
        <w:rPr>
          <w:rFonts w:ascii="Times New Roman" w:hAnsi="Times New Roman"/>
          <w:sz w:val="28"/>
          <w:szCs w:val="28"/>
        </w:rPr>
        <w:t>;</w:t>
      </w:r>
    </w:p>
    <w:p w:rsidR="00E5684C" w:rsidRDefault="00E5684C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содержание учреждений культуры в сумме 417,2 тыс. рублей, в том числе</w:t>
      </w:r>
      <w:r w:rsidRPr="00E5684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выплаты персоналу учреждений – 232,2 тыс. рублей, </w:t>
      </w:r>
      <w:r>
        <w:rPr>
          <w:rFonts w:ascii="Times New Roman" w:hAnsi="Times New Roman"/>
          <w:sz w:val="28"/>
          <w:szCs w:val="28"/>
        </w:rPr>
        <w:t xml:space="preserve">на закупки товаров, работ, услуг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E5684C">
        <w:rPr>
          <w:rFonts w:ascii="Times New Roman" w:hAnsi="Times New Roman"/>
          <w:sz w:val="28"/>
          <w:szCs w:val="28"/>
        </w:rPr>
        <w:t>;</w:t>
      </w:r>
    </w:p>
    <w:p w:rsidR="008753A4" w:rsidRPr="007538E1" w:rsidRDefault="004D3DD0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38E1">
        <w:rPr>
          <w:rFonts w:ascii="Times New Roman" w:hAnsi="Times New Roman"/>
          <w:sz w:val="28"/>
          <w:szCs w:val="28"/>
        </w:rPr>
        <w:t xml:space="preserve">        Проектом решения предлагается произвести перераспределение </w:t>
      </w:r>
      <w:r w:rsidR="007538E1" w:rsidRPr="00D261BC">
        <w:rPr>
          <w:rFonts w:ascii="Times New Roman" w:hAnsi="Times New Roman"/>
          <w:sz w:val="28"/>
          <w:szCs w:val="28"/>
        </w:rPr>
        <w:t>бюджетных ассигнований в расходной части бюджета</w:t>
      </w:r>
      <w:r w:rsidR="007538E1" w:rsidRPr="007538E1">
        <w:rPr>
          <w:rFonts w:ascii="Times New Roman" w:hAnsi="Times New Roman"/>
          <w:sz w:val="28"/>
          <w:szCs w:val="28"/>
        </w:rPr>
        <w:t>:</w:t>
      </w:r>
    </w:p>
    <w:p w:rsidR="008753A4" w:rsidRDefault="007538E1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8E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по </w:t>
      </w:r>
      <w:r w:rsidRPr="007538E1">
        <w:rPr>
          <w:rFonts w:ascii="Times New Roman" w:hAnsi="Times New Roman"/>
          <w:i/>
          <w:sz w:val="28"/>
          <w:szCs w:val="28"/>
        </w:rPr>
        <w:t>подраздел</w:t>
      </w:r>
      <w:r>
        <w:rPr>
          <w:rFonts w:ascii="Times New Roman" w:hAnsi="Times New Roman"/>
          <w:i/>
          <w:sz w:val="28"/>
          <w:szCs w:val="28"/>
        </w:rPr>
        <w:t>у</w:t>
      </w:r>
      <w:r w:rsidRPr="007538E1">
        <w:rPr>
          <w:rFonts w:ascii="Times New Roman" w:hAnsi="Times New Roman"/>
          <w:i/>
          <w:sz w:val="28"/>
          <w:szCs w:val="28"/>
        </w:rPr>
        <w:t xml:space="preserve"> 0203 «Мобилизационная и вневойсковая подготовка»</w:t>
      </w:r>
      <w:r>
        <w:rPr>
          <w:rFonts w:ascii="Times New Roman" w:hAnsi="Times New Roman"/>
          <w:sz w:val="28"/>
          <w:szCs w:val="28"/>
        </w:rPr>
        <w:t xml:space="preserve"> раздела 02 «</w:t>
      </w:r>
      <w:r w:rsidRPr="007538E1">
        <w:rPr>
          <w:rFonts w:ascii="Times New Roman" w:hAnsi="Times New Roman"/>
          <w:sz w:val="28"/>
          <w:szCs w:val="28"/>
        </w:rPr>
        <w:t>Национальная оборона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счет уменьшения расходов на закупки товаров, работ услуг на сумму 9,4 тыс. рублей увеличить расходы на выплаты персоналу. Расходы на выплаты </w:t>
      </w:r>
      <w:r w:rsidR="00C23DE0">
        <w:rPr>
          <w:rFonts w:ascii="Times New Roman" w:hAnsi="Times New Roman"/>
          <w:sz w:val="28"/>
          <w:szCs w:val="28"/>
        </w:rPr>
        <w:t xml:space="preserve">сотруднику, </w:t>
      </w:r>
      <w:r w:rsidR="00C23DE0" w:rsidRPr="004D3DD0">
        <w:rPr>
          <w:rFonts w:ascii="Times New Roman" w:hAnsi="Times New Roman"/>
          <w:sz w:val="28"/>
          <w:szCs w:val="28"/>
        </w:rPr>
        <w:t>осуществляющ</w:t>
      </w:r>
      <w:r w:rsidR="00C23DE0">
        <w:rPr>
          <w:rFonts w:ascii="Times New Roman" w:hAnsi="Times New Roman"/>
          <w:sz w:val="28"/>
          <w:szCs w:val="28"/>
        </w:rPr>
        <w:t>ему</w:t>
      </w:r>
      <w:r w:rsidR="00C23DE0" w:rsidRPr="004D3DD0">
        <w:rPr>
          <w:rFonts w:ascii="Times New Roman" w:hAnsi="Times New Roman"/>
          <w:sz w:val="28"/>
          <w:szCs w:val="28"/>
        </w:rPr>
        <w:t xml:space="preserve"> воинский учет</w:t>
      </w:r>
      <w:r w:rsidR="00C23DE0">
        <w:rPr>
          <w:rFonts w:ascii="Times New Roman" w:hAnsi="Times New Roman"/>
          <w:sz w:val="28"/>
          <w:szCs w:val="28"/>
        </w:rPr>
        <w:t>,</w:t>
      </w:r>
      <w:r w:rsidR="00C23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поступившей субвенции будут в целом увеличены на </w:t>
      </w:r>
      <w:r w:rsidR="00C23DE0">
        <w:rPr>
          <w:rFonts w:ascii="Times New Roman" w:hAnsi="Times New Roman"/>
          <w:sz w:val="28"/>
          <w:szCs w:val="28"/>
        </w:rPr>
        <w:t>25,3 тыс. рублей.</w:t>
      </w:r>
    </w:p>
    <w:p w:rsidR="00C23DE0" w:rsidRDefault="00C23DE0" w:rsidP="00C23D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</w:t>
      </w:r>
      <w:r w:rsidRPr="00E5684C">
        <w:rPr>
          <w:rFonts w:ascii="Times New Roman" w:hAnsi="Times New Roman"/>
          <w:i/>
          <w:sz w:val="28"/>
          <w:szCs w:val="28"/>
        </w:rPr>
        <w:t>подраздел</w:t>
      </w:r>
      <w:r>
        <w:rPr>
          <w:rFonts w:ascii="Times New Roman" w:hAnsi="Times New Roman"/>
          <w:i/>
          <w:sz w:val="28"/>
          <w:szCs w:val="28"/>
        </w:rPr>
        <w:t>у</w:t>
      </w:r>
      <w:r w:rsidRPr="00E5684C">
        <w:rPr>
          <w:rFonts w:ascii="Times New Roman" w:hAnsi="Times New Roman"/>
          <w:i/>
          <w:sz w:val="28"/>
          <w:szCs w:val="28"/>
        </w:rPr>
        <w:t xml:space="preserve"> 0503 «Благоустройство»</w:t>
      </w:r>
      <w:r>
        <w:rPr>
          <w:rFonts w:ascii="Times New Roman" w:hAnsi="Times New Roman"/>
          <w:sz w:val="28"/>
          <w:szCs w:val="28"/>
        </w:rPr>
        <w:t xml:space="preserve"> раздела 05 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за счет уменьшения расходов на уличное освещение в </w:t>
      </w:r>
      <w:r>
        <w:rPr>
          <w:rFonts w:ascii="Times New Roman" w:hAnsi="Times New Roman"/>
          <w:sz w:val="28"/>
          <w:szCs w:val="28"/>
        </w:rPr>
        <w:lastRenderedPageBreak/>
        <w:t>сумме 51,0 тыс. рублей увеличить расходы на прочие мероприятия по благоустройству. Р</w:t>
      </w:r>
      <w:r>
        <w:rPr>
          <w:rFonts w:ascii="Times New Roman" w:hAnsi="Times New Roman"/>
          <w:sz w:val="28"/>
          <w:szCs w:val="28"/>
        </w:rPr>
        <w:t xml:space="preserve">асходы на прочие </w:t>
      </w:r>
      <w:r>
        <w:rPr>
          <w:rFonts w:ascii="Times New Roman" w:hAnsi="Times New Roman"/>
          <w:sz w:val="28"/>
          <w:szCs w:val="28"/>
        </w:rPr>
        <w:t xml:space="preserve">мероприятия по благоустройству с учетом распределенных на данные мероприятия </w:t>
      </w:r>
      <w:r>
        <w:rPr>
          <w:rFonts w:ascii="Times New Roman" w:hAnsi="Times New Roman"/>
          <w:sz w:val="28"/>
          <w:szCs w:val="28"/>
        </w:rPr>
        <w:t>средств дотации</w:t>
      </w:r>
      <w:r w:rsidRPr="00C23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целом увеличатся на 101,0 тыс. рублей. </w:t>
      </w:r>
    </w:p>
    <w:p w:rsidR="00C23DE0" w:rsidRDefault="00C23DE0" w:rsidP="00C23D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уточнением источника </w:t>
      </w:r>
      <w:r>
        <w:rPr>
          <w:rFonts w:ascii="Times New Roman" w:hAnsi="Times New Roman"/>
          <w:sz w:val="28"/>
          <w:szCs w:val="28"/>
        </w:rPr>
        <w:t>финансирования расходов на софинансирование мероприятий по капитальному ремонту объектов культур</w:t>
      </w:r>
      <w:r>
        <w:rPr>
          <w:rFonts w:ascii="Times New Roman" w:hAnsi="Times New Roman"/>
          <w:sz w:val="28"/>
          <w:szCs w:val="28"/>
        </w:rPr>
        <w:t xml:space="preserve">ы данные расходы уменьшатся на </w:t>
      </w:r>
      <w:r w:rsidR="005607F0">
        <w:rPr>
          <w:rFonts w:ascii="Times New Roman" w:hAnsi="Times New Roman"/>
          <w:sz w:val="28"/>
          <w:szCs w:val="28"/>
        </w:rPr>
        <w:t>5771,0 тыс. рублей.</w:t>
      </w:r>
    </w:p>
    <w:p w:rsidR="00F90D8F" w:rsidRPr="00F90D8F" w:rsidRDefault="00F90D8F" w:rsidP="00F90D8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02DE">
        <w:rPr>
          <w:rFonts w:ascii="Times New Roman" w:hAnsi="Times New Roman"/>
          <w:sz w:val="28"/>
          <w:szCs w:val="28"/>
        </w:rPr>
        <w:t xml:space="preserve">  В</w:t>
      </w:r>
      <w:r w:rsidR="00B202DE">
        <w:rPr>
          <w:rFonts w:ascii="Times New Roman" w:hAnsi="Times New Roman"/>
          <w:sz w:val="28"/>
          <w:szCs w:val="28"/>
          <w:lang w:eastAsia="ru-RU"/>
        </w:rPr>
        <w:t xml:space="preserve"> связи с увеличением расходов проектом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202DE">
        <w:rPr>
          <w:rFonts w:ascii="Times New Roman" w:hAnsi="Times New Roman"/>
          <w:sz w:val="28"/>
          <w:szCs w:val="28"/>
        </w:rPr>
        <w:t>на оплату персоналу  о</w:t>
      </w:r>
      <w:r w:rsidRPr="00F90D8F">
        <w:rPr>
          <w:rFonts w:ascii="Times New Roman" w:hAnsi="Times New Roman"/>
          <w:sz w:val="28"/>
          <w:szCs w:val="28"/>
          <w:lang w:eastAsia="ru-RU"/>
        </w:rPr>
        <w:t>бъем расходов на 2022 год, запланированный бюджет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F90D8F">
        <w:rPr>
          <w:rFonts w:ascii="Times New Roman" w:hAnsi="Times New Roman"/>
          <w:sz w:val="28"/>
          <w:szCs w:val="28"/>
          <w:lang w:eastAsia="ru-RU"/>
        </w:rPr>
        <w:t xml:space="preserve"> на оплату труд</w:t>
      </w:r>
      <w:r>
        <w:rPr>
          <w:rFonts w:ascii="Times New Roman" w:hAnsi="Times New Roman"/>
          <w:sz w:val="28"/>
          <w:szCs w:val="28"/>
          <w:lang w:eastAsia="ru-RU"/>
        </w:rPr>
        <w:t>а персонала</w:t>
      </w:r>
      <w:r w:rsidR="00B202D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02DE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ru-RU"/>
        </w:rPr>
        <w:t>2881,8 тыс. рублей</w:t>
      </w:r>
      <w:r w:rsidR="00B202DE">
        <w:rPr>
          <w:rFonts w:ascii="Times New Roman" w:hAnsi="Times New Roman"/>
          <w:sz w:val="28"/>
          <w:szCs w:val="28"/>
          <w:lang w:eastAsia="ru-RU"/>
        </w:rPr>
        <w:t>. О</w:t>
      </w:r>
      <w:r w:rsidR="00B202DE" w:rsidRPr="00F90D8F">
        <w:rPr>
          <w:rFonts w:ascii="Times New Roman" w:hAnsi="Times New Roman"/>
          <w:sz w:val="28"/>
          <w:szCs w:val="28"/>
          <w:lang w:eastAsia="ru-RU"/>
        </w:rPr>
        <w:t xml:space="preserve">бъем расходов </w:t>
      </w:r>
      <w:r w:rsidR="00B202DE">
        <w:rPr>
          <w:rFonts w:ascii="Times New Roman" w:hAnsi="Times New Roman"/>
          <w:sz w:val="28"/>
          <w:szCs w:val="28"/>
          <w:lang w:eastAsia="ru-RU"/>
        </w:rPr>
        <w:t xml:space="preserve">соответствует </w:t>
      </w:r>
      <w:r w:rsidRPr="00F90D8F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B202DE">
        <w:rPr>
          <w:rFonts w:ascii="Times New Roman" w:hAnsi="Times New Roman"/>
          <w:sz w:val="28"/>
          <w:szCs w:val="28"/>
          <w:lang w:eastAsia="ru-RU"/>
        </w:rPr>
        <w:t>у</w:t>
      </w:r>
      <w:r w:rsidRPr="00F90D8F">
        <w:rPr>
          <w:rFonts w:ascii="Times New Roman" w:hAnsi="Times New Roman"/>
          <w:sz w:val="28"/>
          <w:szCs w:val="28"/>
          <w:lang w:eastAsia="ru-RU"/>
        </w:rPr>
        <w:t xml:space="preserve"> 3062,4 тыс. рублей, установленн</w:t>
      </w:r>
      <w:r w:rsidR="00B202DE">
        <w:rPr>
          <w:rFonts w:ascii="Times New Roman" w:hAnsi="Times New Roman"/>
          <w:sz w:val="28"/>
          <w:szCs w:val="28"/>
          <w:lang w:eastAsia="ru-RU"/>
        </w:rPr>
        <w:t>ому</w:t>
      </w:r>
      <w:r w:rsidRPr="00F90D8F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1,20, применяемого к нормативу для органов местного самоуправления городских и сельских поселений, реализовавших инициативу о преобразовании поселений области путем их объединения, с численностью населения до 3,5 тыс. человек.</w:t>
      </w:r>
    </w:p>
    <w:p w:rsidR="005469E5" w:rsidRPr="005469E5" w:rsidRDefault="00B202DE" w:rsidP="005469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24C2"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="001E24C2"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 w:rsidR="001E24C2"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</w:t>
      </w:r>
      <w:r w:rsidR="001723C3">
        <w:rPr>
          <w:rFonts w:ascii="Times New Roman" w:hAnsi="Times New Roman"/>
          <w:sz w:val="28"/>
          <w:szCs w:val="28"/>
        </w:rPr>
        <w:t>величится</w:t>
      </w:r>
      <w:r w:rsidR="00210A31"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9605,5</w:t>
      </w:r>
      <w:r w:rsidR="001723C3"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>тыс. рублей</w:t>
      </w:r>
      <w:r w:rsidR="00AC7F42">
        <w:rPr>
          <w:rFonts w:ascii="Times New Roman" w:hAnsi="Times New Roman"/>
          <w:sz w:val="28"/>
          <w:szCs w:val="28"/>
        </w:rPr>
        <w:t xml:space="preserve"> (</w:t>
      </w:r>
      <w:r w:rsidR="001723C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22,1</w:t>
      </w:r>
      <w:r w:rsidR="00AC7F42">
        <w:rPr>
          <w:rFonts w:ascii="Times New Roman" w:hAnsi="Times New Roman"/>
          <w:sz w:val="28"/>
          <w:szCs w:val="28"/>
        </w:rPr>
        <w:t xml:space="preserve"> %)</w:t>
      </w:r>
      <w:r w:rsidR="001E24C2">
        <w:rPr>
          <w:rFonts w:ascii="Times New Roman" w:hAnsi="Times New Roman"/>
          <w:sz w:val="28"/>
          <w:szCs w:val="28"/>
        </w:rPr>
        <w:t xml:space="preserve"> и составит в 2022 году </w:t>
      </w:r>
      <w:r>
        <w:rPr>
          <w:rFonts w:ascii="Times New Roman" w:hAnsi="Times New Roman"/>
          <w:sz w:val="28"/>
          <w:szCs w:val="28"/>
        </w:rPr>
        <w:t>53050,3</w:t>
      </w:r>
      <w:r w:rsidR="001E24C2">
        <w:rPr>
          <w:rFonts w:ascii="Times New Roman" w:hAnsi="Times New Roman"/>
          <w:sz w:val="28"/>
          <w:szCs w:val="28"/>
        </w:rPr>
        <w:t xml:space="preserve"> </w:t>
      </w:r>
      <w:r w:rsidR="001E24C2"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или 90,0 % от общего объема расходов бюджета поселения на 2022 год</w:t>
      </w:r>
      <w:r w:rsidR="001E24C2">
        <w:rPr>
          <w:rFonts w:ascii="Times New Roman" w:hAnsi="Times New Roman"/>
          <w:sz w:val="28"/>
          <w:szCs w:val="28"/>
        </w:rPr>
        <w:t xml:space="preserve">. </w:t>
      </w:r>
      <w:r w:rsidR="005469E5" w:rsidRPr="005469E5">
        <w:rPr>
          <w:rFonts w:ascii="Times New Roman" w:hAnsi="Times New Roman"/>
          <w:sz w:val="28"/>
          <w:szCs w:val="28"/>
        </w:rPr>
        <w:t>Изменения внесены в финансирование муниципальных программ:</w:t>
      </w:r>
    </w:p>
    <w:p w:rsidR="005469E5" w:rsidRPr="005469E5" w:rsidRDefault="005469E5" w:rsidP="005469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9E5">
        <w:rPr>
          <w:rFonts w:ascii="Times New Roman" w:hAnsi="Times New Roman"/>
          <w:bCs/>
          <w:sz w:val="28"/>
          <w:szCs w:val="28"/>
        </w:rPr>
        <w:t>- «Благоустройство территории, реконструкция и ремонт сетей уличного освещения муниципального образования сельское поселение Андомское на 2021 - 2023 годы» (+</w:t>
      </w:r>
      <w:r>
        <w:rPr>
          <w:rFonts w:ascii="Times New Roman" w:hAnsi="Times New Roman"/>
          <w:bCs/>
          <w:sz w:val="28"/>
          <w:szCs w:val="28"/>
        </w:rPr>
        <w:t xml:space="preserve">50,0 </w:t>
      </w:r>
      <w:r w:rsidRPr="005469E5">
        <w:rPr>
          <w:rFonts w:ascii="Times New Roman" w:hAnsi="Times New Roman"/>
          <w:bCs/>
          <w:sz w:val="28"/>
          <w:szCs w:val="28"/>
        </w:rPr>
        <w:t>тыс. рублей);</w:t>
      </w:r>
    </w:p>
    <w:p w:rsidR="005469E5" w:rsidRDefault="005469E5" w:rsidP="005469E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 – 2023 годы</w:t>
      </w:r>
      <w:r>
        <w:rPr>
          <w:rFonts w:ascii="Times New Roman" w:hAnsi="Times New Roman"/>
          <w:sz w:val="28"/>
          <w:szCs w:val="28"/>
        </w:rPr>
        <w:t xml:space="preserve">» (+ </w:t>
      </w:r>
      <w:r>
        <w:rPr>
          <w:rFonts w:ascii="Times New Roman" w:hAnsi="Times New Roman"/>
          <w:sz w:val="28"/>
          <w:szCs w:val="28"/>
        </w:rPr>
        <w:t>9555,5</w:t>
      </w:r>
      <w:r>
        <w:rPr>
          <w:rFonts w:ascii="Times New Roman" w:hAnsi="Times New Roman"/>
          <w:sz w:val="28"/>
          <w:szCs w:val="28"/>
        </w:rPr>
        <w:t xml:space="preserve"> тыс. рублей)».     </w:t>
      </w:r>
    </w:p>
    <w:p w:rsidR="00CD3851" w:rsidRDefault="001E24C2" w:rsidP="005469E5">
      <w:pPr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263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   </w:t>
      </w:r>
    </w:p>
    <w:p w:rsidR="005607F0" w:rsidRDefault="006079AA" w:rsidP="005607F0">
      <w:pPr>
        <w:pStyle w:val="ConsPlusNormal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69E5">
        <w:rPr>
          <w:b/>
          <w:sz w:val="28"/>
          <w:szCs w:val="28"/>
        </w:rPr>
        <w:t xml:space="preserve">     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5469E5" w:rsidRDefault="002E63EA" w:rsidP="005607F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5469E5" w:rsidRDefault="005469E5" w:rsidP="005469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BA" w:rsidRDefault="006978BA" w:rsidP="00923E33">
      <w:pPr>
        <w:spacing w:after="0" w:line="240" w:lineRule="auto"/>
      </w:pPr>
      <w:r>
        <w:separator/>
      </w:r>
    </w:p>
  </w:endnote>
  <w:endnote w:type="continuationSeparator" w:id="0">
    <w:p w:rsidR="006978BA" w:rsidRDefault="006978BA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BA" w:rsidRDefault="006978BA" w:rsidP="00923E33">
      <w:pPr>
        <w:spacing w:after="0" w:line="240" w:lineRule="auto"/>
      </w:pPr>
      <w:r>
        <w:separator/>
      </w:r>
    </w:p>
  </w:footnote>
  <w:footnote w:type="continuationSeparator" w:id="0">
    <w:p w:rsidR="006978BA" w:rsidRDefault="006978BA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9E6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3C7E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76917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C6CFA"/>
    <w:rsid w:val="004D2018"/>
    <w:rsid w:val="004D3D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3635"/>
    <w:rsid w:val="0054504C"/>
    <w:rsid w:val="005463F3"/>
    <w:rsid w:val="005469E5"/>
    <w:rsid w:val="00550017"/>
    <w:rsid w:val="005505B9"/>
    <w:rsid w:val="005523D5"/>
    <w:rsid w:val="0055310B"/>
    <w:rsid w:val="00557438"/>
    <w:rsid w:val="005607F0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8BA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68D7"/>
    <w:rsid w:val="00796C84"/>
    <w:rsid w:val="007A08BB"/>
    <w:rsid w:val="007A487D"/>
    <w:rsid w:val="007A4D82"/>
    <w:rsid w:val="007A64FD"/>
    <w:rsid w:val="007B0326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F1E7C"/>
    <w:rsid w:val="00E00CF1"/>
    <w:rsid w:val="00E00D65"/>
    <w:rsid w:val="00E12747"/>
    <w:rsid w:val="00E150BF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1F21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2DC5"/>
    <w:rsid w:val="00F675B1"/>
    <w:rsid w:val="00F7115F"/>
    <w:rsid w:val="00F75C71"/>
    <w:rsid w:val="00F803C3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E2CC-D0DF-4F04-AF0E-A52D24C8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94</cp:revision>
  <cp:lastPrinted>2022-11-22T06:43:00Z</cp:lastPrinted>
  <dcterms:created xsi:type="dcterms:W3CDTF">2018-05-17T09:59:00Z</dcterms:created>
  <dcterms:modified xsi:type="dcterms:W3CDTF">2022-11-22T06:43:00Z</dcterms:modified>
</cp:coreProperties>
</file>