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326847">
      <w:pPr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DA5D4C" w:rsidRPr="00267E35" w:rsidRDefault="009F52E0" w:rsidP="0081042C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b/>
          <w:sz w:val="28"/>
          <w:szCs w:val="28"/>
        </w:rPr>
        <w:t>А</w:t>
      </w:r>
      <w:r w:rsidR="008B571C">
        <w:rPr>
          <w:rFonts w:ascii="Times New Roman" w:hAnsi="Times New Roman"/>
          <w:b/>
          <w:sz w:val="28"/>
          <w:szCs w:val="28"/>
        </w:rPr>
        <w:t>нхимовское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422A1C" w:rsidRDefault="008D74F1" w:rsidP="0081042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53C73">
        <w:rPr>
          <w:rFonts w:ascii="Times New Roman" w:hAnsi="Times New Roman"/>
          <w:sz w:val="28"/>
          <w:szCs w:val="28"/>
        </w:rPr>
        <w:t>4</w:t>
      </w:r>
      <w:r w:rsidR="00C56A4D">
        <w:rPr>
          <w:rFonts w:ascii="Times New Roman" w:hAnsi="Times New Roman"/>
          <w:sz w:val="28"/>
          <w:szCs w:val="28"/>
        </w:rPr>
        <w:t>.</w:t>
      </w:r>
      <w:r w:rsidR="00553C73">
        <w:rPr>
          <w:rFonts w:ascii="Times New Roman" w:hAnsi="Times New Roman"/>
          <w:sz w:val="28"/>
          <w:szCs w:val="28"/>
        </w:rPr>
        <w:t>11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7A4CD8" w:rsidRDefault="00422A1C" w:rsidP="007A4CD8">
      <w:pPr>
        <w:spacing w:after="120" w:line="240" w:lineRule="auto"/>
        <w:ind w:firstLine="709"/>
        <w:jc w:val="both"/>
        <w:rPr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6E5F9C">
        <w:rPr>
          <w:rFonts w:ascii="Times New Roman" w:hAnsi="Times New Roman"/>
          <w:sz w:val="28"/>
          <w:szCs w:val="28"/>
        </w:rPr>
        <w:t>7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="006E5F9C">
        <w:rPr>
          <w:rFonts w:ascii="Times New Roman" w:hAnsi="Times New Roman"/>
          <w:sz w:val="28"/>
          <w:szCs w:val="28"/>
        </w:rPr>
        <w:t>46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B3954">
        <w:rPr>
          <w:sz w:val="28"/>
          <w:szCs w:val="28"/>
        </w:rPr>
        <w:t xml:space="preserve">        </w:t>
      </w:r>
    </w:p>
    <w:p w:rsidR="00E2474F" w:rsidRDefault="003D7CDB" w:rsidP="006775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6E5F9C">
        <w:rPr>
          <w:rFonts w:ascii="Times New Roman" w:hAnsi="Times New Roman"/>
          <w:sz w:val="28"/>
          <w:szCs w:val="28"/>
        </w:rPr>
        <w:t>7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1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E2474F">
        <w:rPr>
          <w:rFonts w:ascii="Times New Roman" w:hAnsi="Times New Roman"/>
          <w:sz w:val="28"/>
          <w:szCs w:val="28"/>
        </w:rPr>
        <w:t>2</w:t>
      </w:r>
      <w:r w:rsidR="006E5F9C">
        <w:rPr>
          <w:rFonts w:ascii="Times New Roman" w:hAnsi="Times New Roman"/>
          <w:sz w:val="28"/>
          <w:szCs w:val="28"/>
        </w:rPr>
        <w:t>46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E2474F">
        <w:rPr>
          <w:rFonts w:ascii="Times New Roman" w:hAnsi="Times New Roman"/>
          <w:sz w:val="28"/>
          <w:szCs w:val="28"/>
        </w:rPr>
        <w:t>2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2474F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500053" w:rsidRDefault="001060C8" w:rsidP="006775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0C8">
        <w:rPr>
          <w:rFonts w:ascii="Times New Roman" w:hAnsi="Times New Roman"/>
          <w:sz w:val="28"/>
          <w:szCs w:val="28"/>
        </w:rPr>
        <w:t xml:space="preserve">        </w:t>
      </w:r>
      <w:r w:rsidR="00553C73" w:rsidRPr="00E2474F">
        <w:rPr>
          <w:rFonts w:ascii="Times New Roman" w:hAnsi="Times New Roman"/>
          <w:sz w:val="28"/>
          <w:szCs w:val="28"/>
        </w:rPr>
        <w:t>Проектом решения п</w:t>
      </w:r>
      <w:r w:rsidR="00553C73">
        <w:rPr>
          <w:rFonts w:ascii="Times New Roman" w:hAnsi="Times New Roman"/>
          <w:sz w:val="28"/>
          <w:szCs w:val="28"/>
        </w:rPr>
        <w:t xml:space="preserve">редлагается внести изменения в доходную и </w:t>
      </w:r>
      <w:r w:rsidR="00553C73" w:rsidRPr="00E2474F">
        <w:rPr>
          <w:rFonts w:ascii="Times New Roman" w:hAnsi="Times New Roman"/>
          <w:sz w:val="28"/>
          <w:szCs w:val="28"/>
        </w:rPr>
        <w:t>расходн</w:t>
      </w:r>
      <w:r w:rsidR="00553C73">
        <w:rPr>
          <w:rFonts w:ascii="Times New Roman" w:hAnsi="Times New Roman"/>
          <w:sz w:val="28"/>
          <w:szCs w:val="28"/>
        </w:rPr>
        <w:t xml:space="preserve">ую части </w:t>
      </w:r>
      <w:r w:rsidR="00553C73" w:rsidRPr="00E2474F">
        <w:rPr>
          <w:rFonts w:ascii="Times New Roman" w:hAnsi="Times New Roman"/>
          <w:sz w:val="28"/>
          <w:szCs w:val="28"/>
        </w:rPr>
        <w:t>бюджета поселения на 2022 год</w:t>
      </w:r>
      <w:r w:rsidR="00553C73">
        <w:rPr>
          <w:rFonts w:ascii="Times New Roman" w:hAnsi="Times New Roman"/>
          <w:sz w:val="28"/>
          <w:szCs w:val="28"/>
        </w:rPr>
        <w:t>.</w:t>
      </w:r>
      <w:r w:rsidRPr="001060C8">
        <w:rPr>
          <w:rFonts w:ascii="Times New Roman" w:hAnsi="Times New Roman"/>
          <w:sz w:val="28"/>
          <w:szCs w:val="28"/>
        </w:rPr>
        <w:t xml:space="preserve">  </w:t>
      </w:r>
    </w:p>
    <w:p w:rsidR="00553C73" w:rsidRPr="00553C73" w:rsidRDefault="00553C73" w:rsidP="00553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53C73">
        <w:rPr>
          <w:rFonts w:ascii="Times New Roman" w:hAnsi="Times New Roman"/>
          <w:sz w:val="28"/>
          <w:szCs w:val="28"/>
        </w:rPr>
        <w:t xml:space="preserve">Изменения на 2022 год приведены в таблице: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675"/>
        <w:gridCol w:w="1675"/>
        <w:gridCol w:w="1257"/>
        <w:gridCol w:w="1120"/>
      </w:tblGrid>
      <w:tr w:rsidR="00553C73" w:rsidRPr="001C59E6" w:rsidTr="004545BC">
        <w:trPr>
          <w:trHeight w:val="463"/>
        </w:trPr>
        <w:tc>
          <w:tcPr>
            <w:tcW w:w="3618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5" w:type="dxa"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Утверждено решением о бюджете от 16.12.21 № 263</w:t>
            </w:r>
          </w:p>
        </w:tc>
        <w:tc>
          <w:tcPr>
            <w:tcW w:w="1675" w:type="dxa"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Предлагаемые проектом решения изменения</w:t>
            </w:r>
          </w:p>
        </w:tc>
        <w:tc>
          <w:tcPr>
            <w:tcW w:w="1257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 xml:space="preserve">Изменение </w:t>
            </w:r>
          </w:p>
        </w:tc>
        <w:tc>
          <w:tcPr>
            <w:tcW w:w="1120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553C73" w:rsidRPr="001C59E6" w:rsidTr="00553C73">
        <w:trPr>
          <w:trHeight w:val="187"/>
        </w:trPr>
        <w:tc>
          <w:tcPr>
            <w:tcW w:w="3618" w:type="dxa"/>
            <w:noWrap/>
            <w:hideMark/>
          </w:tcPr>
          <w:p w:rsidR="00553C73" w:rsidRPr="001C59E6" w:rsidRDefault="00553C73" w:rsidP="00553C7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Доходы, всего (тыс. рублей)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3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8218,1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3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14351,3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3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6133,2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3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74,6%</w:t>
            </w:r>
          </w:p>
        </w:tc>
      </w:tr>
      <w:tr w:rsidR="00553C73" w:rsidRPr="001C59E6" w:rsidTr="00553C73">
        <w:trPr>
          <w:trHeight w:val="110"/>
        </w:trPr>
        <w:tc>
          <w:tcPr>
            <w:tcW w:w="3618" w:type="dxa"/>
            <w:noWrap/>
            <w:hideMark/>
          </w:tcPr>
          <w:p w:rsidR="00553C73" w:rsidRPr="001C59E6" w:rsidRDefault="00553C73" w:rsidP="00553C7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3C73">
              <w:rPr>
                <w:rFonts w:ascii="Times New Roman" w:hAnsi="Times New Roman"/>
                <w:color w:val="000000"/>
                <w:sz w:val="18"/>
                <w:szCs w:val="18"/>
              </w:rPr>
              <w:t>1476,0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3C73">
              <w:rPr>
                <w:rFonts w:ascii="Times New Roman" w:hAnsi="Times New Roman"/>
                <w:color w:val="000000"/>
                <w:sz w:val="18"/>
                <w:szCs w:val="18"/>
              </w:rPr>
              <w:t>746,0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3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-730,0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3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-49,5%</w:t>
            </w:r>
          </w:p>
        </w:tc>
      </w:tr>
      <w:tr w:rsidR="00553C73" w:rsidRPr="001C59E6" w:rsidTr="00553C73">
        <w:trPr>
          <w:trHeight w:val="60"/>
        </w:trPr>
        <w:tc>
          <w:tcPr>
            <w:tcW w:w="3618" w:type="dxa"/>
            <w:noWrap/>
            <w:hideMark/>
          </w:tcPr>
          <w:p w:rsidR="00553C73" w:rsidRPr="001C59E6" w:rsidRDefault="00553C73" w:rsidP="00553C7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3C73">
              <w:rPr>
                <w:rFonts w:ascii="Times New Roman" w:hAnsi="Times New Roman"/>
                <w:color w:val="000000"/>
                <w:sz w:val="18"/>
                <w:szCs w:val="18"/>
              </w:rPr>
              <w:t>6742,1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3C73">
              <w:rPr>
                <w:rFonts w:ascii="Times New Roman" w:hAnsi="Times New Roman"/>
                <w:color w:val="000000"/>
                <w:sz w:val="18"/>
                <w:szCs w:val="18"/>
              </w:rPr>
              <w:t>13605,3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3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6863,2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53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101,8%</w:t>
            </w:r>
          </w:p>
        </w:tc>
      </w:tr>
      <w:tr w:rsidR="00553C73" w:rsidRPr="001C59E6" w:rsidTr="00553C73">
        <w:trPr>
          <w:trHeight w:val="130"/>
        </w:trPr>
        <w:tc>
          <w:tcPr>
            <w:tcW w:w="3618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Расходы, всего (тыс. рублей)</w:t>
            </w:r>
          </w:p>
        </w:tc>
        <w:tc>
          <w:tcPr>
            <w:tcW w:w="1675" w:type="dxa"/>
            <w:noWrap/>
          </w:tcPr>
          <w:p w:rsidR="00553C73" w:rsidRPr="00553C73" w:rsidRDefault="00553C73" w:rsidP="004545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C73">
              <w:rPr>
                <w:rFonts w:ascii="Times New Roman" w:hAnsi="Times New Roman"/>
                <w:b/>
                <w:sz w:val="18"/>
                <w:szCs w:val="18"/>
              </w:rPr>
              <w:t>14138,0</w:t>
            </w:r>
          </w:p>
        </w:tc>
        <w:tc>
          <w:tcPr>
            <w:tcW w:w="1675" w:type="dxa"/>
            <w:noWrap/>
          </w:tcPr>
          <w:p w:rsidR="00553C73" w:rsidRPr="00553C73" w:rsidRDefault="00553C73" w:rsidP="004545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C73">
              <w:rPr>
                <w:rFonts w:ascii="Times New Roman" w:hAnsi="Times New Roman"/>
                <w:b/>
                <w:sz w:val="18"/>
                <w:szCs w:val="18"/>
              </w:rPr>
              <w:t>14218,2</w:t>
            </w:r>
          </w:p>
        </w:tc>
        <w:tc>
          <w:tcPr>
            <w:tcW w:w="1257" w:type="dxa"/>
            <w:noWrap/>
          </w:tcPr>
          <w:p w:rsidR="00553C73" w:rsidRPr="00553C73" w:rsidRDefault="00553C73" w:rsidP="004545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C73">
              <w:rPr>
                <w:rFonts w:ascii="Times New Roman" w:hAnsi="Times New Roman"/>
                <w:b/>
                <w:sz w:val="18"/>
                <w:szCs w:val="18"/>
              </w:rPr>
              <w:t>+80,2</w:t>
            </w:r>
          </w:p>
        </w:tc>
        <w:tc>
          <w:tcPr>
            <w:tcW w:w="1120" w:type="dxa"/>
            <w:noWrap/>
          </w:tcPr>
          <w:p w:rsidR="00553C73" w:rsidRPr="00553C73" w:rsidRDefault="00553C73" w:rsidP="004545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C73">
              <w:rPr>
                <w:rFonts w:ascii="Times New Roman" w:hAnsi="Times New Roman"/>
                <w:b/>
                <w:sz w:val="18"/>
                <w:szCs w:val="18"/>
              </w:rPr>
              <w:t>+0,6%</w:t>
            </w:r>
          </w:p>
        </w:tc>
      </w:tr>
      <w:tr w:rsidR="00553C73" w:rsidRPr="001C59E6" w:rsidTr="004545BC">
        <w:trPr>
          <w:trHeight w:val="86"/>
        </w:trPr>
        <w:tc>
          <w:tcPr>
            <w:tcW w:w="3618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Дефицит (-), профицит (+) бюджета</w:t>
            </w:r>
          </w:p>
        </w:tc>
        <w:tc>
          <w:tcPr>
            <w:tcW w:w="1675" w:type="dxa"/>
            <w:noWrap/>
          </w:tcPr>
          <w:p w:rsidR="00553C73" w:rsidRPr="00553C73" w:rsidRDefault="00553C73" w:rsidP="004545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C73">
              <w:rPr>
                <w:rFonts w:ascii="Times New Roman" w:hAnsi="Times New Roman"/>
                <w:b/>
                <w:sz w:val="18"/>
                <w:szCs w:val="18"/>
              </w:rPr>
              <w:t>-5919,9</w:t>
            </w:r>
          </w:p>
        </w:tc>
        <w:tc>
          <w:tcPr>
            <w:tcW w:w="1675" w:type="dxa"/>
            <w:noWrap/>
          </w:tcPr>
          <w:p w:rsidR="00553C73" w:rsidRPr="00553C73" w:rsidRDefault="00553C73" w:rsidP="004545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C73">
              <w:rPr>
                <w:rFonts w:ascii="Times New Roman" w:hAnsi="Times New Roman"/>
                <w:b/>
                <w:sz w:val="18"/>
                <w:szCs w:val="18"/>
              </w:rPr>
              <w:t>+133,1</w:t>
            </w:r>
          </w:p>
        </w:tc>
        <w:tc>
          <w:tcPr>
            <w:tcW w:w="1257" w:type="dxa"/>
            <w:noWrap/>
          </w:tcPr>
          <w:p w:rsidR="00553C73" w:rsidRPr="00553C73" w:rsidRDefault="00553C73" w:rsidP="004545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C73">
              <w:rPr>
                <w:rFonts w:ascii="Times New Roman" w:hAnsi="Times New Roman"/>
                <w:b/>
                <w:sz w:val="18"/>
                <w:szCs w:val="18"/>
              </w:rPr>
              <w:t>-6053,0</w:t>
            </w:r>
          </w:p>
        </w:tc>
        <w:tc>
          <w:tcPr>
            <w:tcW w:w="1120" w:type="dxa"/>
            <w:noWrap/>
          </w:tcPr>
          <w:p w:rsidR="00553C73" w:rsidRPr="00553C73" w:rsidRDefault="00553C73" w:rsidP="004545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53C73" w:rsidRDefault="00553C73" w:rsidP="008D7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53C73">
        <w:rPr>
          <w:rFonts w:ascii="Times New Roman" w:hAnsi="Times New Roman"/>
          <w:sz w:val="28"/>
          <w:szCs w:val="28"/>
        </w:rPr>
        <w:t xml:space="preserve">В целом доходная часть бюджета на 2022 год увеличивается на </w:t>
      </w:r>
      <w:r>
        <w:rPr>
          <w:rFonts w:ascii="Times New Roman" w:hAnsi="Times New Roman"/>
          <w:sz w:val="28"/>
          <w:szCs w:val="28"/>
        </w:rPr>
        <w:t>6133,2</w:t>
      </w:r>
      <w:r w:rsidRPr="00553C73">
        <w:rPr>
          <w:rFonts w:ascii="Times New Roman" w:hAnsi="Times New Roman"/>
          <w:sz w:val="28"/>
          <w:szCs w:val="28"/>
        </w:rPr>
        <w:t xml:space="preserve"> тыс. рублей (+ </w:t>
      </w:r>
      <w:r>
        <w:rPr>
          <w:rFonts w:ascii="Times New Roman" w:hAnsi="Times New Roman"/>
          <w:sz w:val="28"/>
          <w:szCs w:val="28"/>
        </w:rPr>
        <w:t>74,6</w:t>
      </w:r>
      <w:r w:rsidRPr="00553C73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53C73">
        <w:rPr>
          <w:rFonts w:ascii="Times New Roman" w:hAnsi="Times New Roman"/>
          <w:sz w:val="28"/>
          <w:szCs w:val="28"/>
        </w:rPr>
        <w:t xml:space="preserve"> Изменения обусловлены поступлением прочих безвозмездных поступлений в сумме </w:t>
      </w:r>
      <w:r>
        <w:rPr>
          <w:rFonts w:ascii="Times New Roman" w:hAnsi="Times New Roman"/>
          <w:sz w:val="28"/>
          <w:szCs w:val="28"/>
        </w:rPr>
        <w:t>6863,2</w:t>
      </w:r>
      <w:r w:rsidRPr="00553C73">
        <w:rPr>
          <w:rFonts w:ascii="Times New Roman" w:hAnsi="Times New Roman"/>
          <w:sz w:val="28"/>
          <w:szCs w:val="28"/>
        </w:rPr>
        <w:t xml:space="preserve"> тыс. рублей и уменьшением поступлений налоговых и неналоговых доходов в сумме </w:t>
      </w:r>
      <w:r>
        <w:rPr>
          <w:rFonts w:ascii="Times New Roman" w:hAnsi="Times New Roman"/>
          <w:sz w:val="28"/>
          <w:szCs w:val="28"/>
        </w:rPr>
        <w:t>730,0</w:t>
      </w:r>
      <w:r w:rsidRPr="00553C73">
        <w:rPr>
          <w:rFonts w:ascii="Times New Roman" w:hAnsi="Times New Roman"/>
          <w:sz w:val="28"/>
          <w:szCs w:val="28"/>
        </w:rPr>
        <w:t xml:space="preserve"> тыс. рублей в связи с возвратом земельного налога с организаций (изменение кадастровой стоимости земельных участков).</w:t>
      </w:r>
      <w:r>
        <w:rPr>
          <w:rFonts w:ascii="Times New Roman" w:hAnsi="Times New Roman"/>
          <w:sz w:val="28"/>
          <w:szCs w:val="28"/>
        </w:rPr>
        <w:t xml:space="preserve"> </w:t>
      </w:r>
      <w:r w:rsidR="007A4CD8">
        <w:rPr>
          <w:rFonts w:ascii="Times New Roman" w:hAnsi="Times New Roman"/>
          <w:sz w:val="28"/>
          <w:szCs w:val="28"/>
        </w:rPr>
        <w:t>П</w:t>
      </w:r>
      <w:r w:rsidRPr="00553C73">
        <w:rPr>
          <w:rFonts w:ascii="Times New Roman" w:hAnsi="Times New Roman"/>
          <w:sz w:val="28"/>
          <w:szCs w:val="28"/>
        </w:rPr>
        <w:t xml:space="preserve">ланируется поступление безвозмездных поступлений: </w:t>
      </w: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– 6821,0 тыс. рублей, прочие субсидии – </w:t>
      </w:r>
      <w:r w:rsidR="009B467F">
        <w:rPr>
          <w:rFonts w:ascii="Times New Roman" w:hAnsi="Times New Roman"/>
          <w:sz w:val="28"/>
          <w:szCs w:val="28"/>
        </w:rPr>
        <w:t>35,9</w:t>
      </w:r>
      <w:r>
        <w:rPr>
          <w:rFonts w:ascii="Times New Roman" w:hAnsi="Times New Roman"/>
          <w:sz w:val="28"/>
          <w:szCs w:val="28"/>
        </w:rPr>
        <w:t xml:space="preserve"> тыс. рублей, субвенции на осуществление первичного воинского учета – </w:t>
      </w:r>
      <w:r w:rsidR="009B467F">
        <w:rPr>
          <w:rFonts w:ascii="Times New Roman" w:hAnsi="Times New Roman"/>
          <w:sz w:val="28"/>
          <w:szCs w:val="28"/>
        </w:rPr>
        <w:t xml:space="preserve">6,3 </w:t>
      </w:r>
      <w:r>
        <w:rPr>
          <w:rFonts w:ascii="Times New Roman" w:hAnsi="Times New Roman"/>
          <w:sz w:val="28"/>
          <w:szCs w:val="28"/>
        </w:rPr>
        <w:t>тыс. рублей.</w:t>
      </w:r>
      <w:r w:rsidR="009B467F">
        <w:rPr>
          <w:rFonts w:ascii="Times New Roman" w:hAnsi="Times New Roman"/>
          <w:sz w:val="28"/>
          <w:szCs w:val="28"/>
        </w:rPr>
        <w:t xml:space="preserve"> </w:t>
      </w:r>
      <w:r w:rsidRPr="00553C73">
        <w:rPr>
          <w:rFonts w:ascii="Times New Roman" w:hAnsi="Times New Roman"/>
          <w:iCs/>
          <w:sz w:val="28"/>
          <w:szCs w:val="28"/>
        </w:rPr>
        <w:t xml:space="preserve">Общий объем безвозмездных поступлений с учетом изменений составит </w:t>
      </w:r>
      <w:r w:rsidR="009B467F">
        <w:rPr>
          <w:rFonts w:ascii="Times New Roman" w:hAnsi="Times New Roman"/>
          <w:iCs/>
          <w:sz w:val="28"/>
          <w:szCs w:val="28"/>
        </w:rPr>
        <w:t>13</w:t>
      </w:r>
      <w:r w:rsidR="00581603">
        <w:rPr>
          <w:rFonts w:ascii="Times New Roman" w:hAnsi="Times New Roman"/>
          <w:iCs/>
          <w:sz w:val="28"/>
          <w:szCs w:val="28"/>
        </w:rPr>
        <w:t xml:space="preserve">605,3 </w:t>
      </w:r>
      <w:r w:rsidR="009B467F">
        <w:rPr>
          <w:rFonts w:ascii="Times New Roman" w:hAnsi="Times New Roman"/>
          <w:iCs/>
          <w:sz w:val="28"/>
          <w:szCs w:val="28"/>
        </w:rPr>
        <w:t>ты</w:t>
      </w:r>
      <w:r w:rsidRPr="00553C73">
        <w:rPr>
          <w:rFonts w:ascii="Times New Roman" w:hAnsi="Times New Roman"/>
          <w:iCs/>
          <w:sz w:val="28"/>
          <w:szCs w:val="28"/>
        </w:rPr>
        <w:t xml:space="preserve">с. рублей, их доля </w:t>
      </w:r>
      <w:r w:rsidRPr="00553C73">
        <w:rPr>
          <w:rFonts w:ascii="Times New Roman" w:hAnsi="Times New Roman"/>
          <w:sz w:val="28"/>
          <w:szCs w:val="28"/>
        </w:rPr>
        <w:t>в общем объеме доходов поселения – 9</w:t>
      </w:r>
      <w:r w:rsidR="009B467F">
        <w:rPr>
          <w:rFonts w:ascii="Times New Roman" w:hAnsi="Times New Roman"/>
          <w:sz w:val="28"/>
          <w:szCs w:val="28"/>
        </w:rPr>
        <w:t>4,8</w:t>
      </w:r>
      <w:r w:rsidRPr="00553C73">
        <w:rPr>
          <w:rFonts w:ascii="Times New Roman" w:hAnsi="Times New Roman"/>
          <w:sz w:val="28"/>
          <w:szCs w:val="28"/>
        </w:rPr>
        <w:t xml:space="preserve"> %. Доля налоговых и неналоговых доходов – </w:t>
      </w:r>
      <w:r w:rsidR="009B467F">
        <w:rPr>
          <w:rFonts w:ascii="Times New Roman" w:hAnsi="Times New Roman"/>
          <w:sz w:val="28"/>
          <w:szCs w:val="28"/>
        </w:rPr>
        <w:t>5,2</w:t>
      </w:r>
      <w:r w:rsidRPr="00553C73">
        <w:rPr>
          <w:rFonts w:ascii="Times New Roman" w:hAnsi="Times New Roman"/>
          <w:sz w:val="28"/>
          <w:szCs w:val="28"/>
        </w:rPr>
        <w:t xml:space="preserve"> %. </w:t>
      </w:r>
    </w:p>
    <w:p w:rsidR="009B467F" w:rsidRDefault="009B467F" w:rsidP="009B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9B467F">
        <w:rPr>
          <w:rFonts w:ascii="Times New Roman" w:hAnsi="Times New Roman"/>
          <w:sz w:val="28"/>
          <w:szCs w:val="28"/>
        </w:rPr>
        <w:t xml:space="preserve">Общий объем расходов бюджета в 2022 году увеличится на </w:t>
      </w:r>
      <w:r>
        <w:rPr>
          <w:rFonts w:ascii="Times New Roman" w:hAnsi="Times New Roman"/>
          <w:sz w:val="28"/>
          <w:szCs w:val="28"/>
        </w:rPr>
        <w:t xml:space="preserve">80,2 тыс. рублей </w:t>
      </w:r>
      <w:r w:rsidRPr="009B467F">
        <w:rPr>
          <w:rFonts w:ascii="Times New Roman" w:hAnsi="Times New Roman"/>
          <w:sz w:val="28"/>
          <w:szCs w:val="28"/>
        </w:rPr>
        <w:t xml:space="preserve">и составит </w:t>
      </w:r>
      <w:r>
        <w:rPr>
          <w:rFonts w:ascii="Times New Roman" w:hAnsi="Times New Roman"/>
          <w:sz w:val="28"/>
          <w:szCs w:val="28"/>
        </w:rPr>
        <w:t xml:space="preserve">14218,2 </w:t>
      </w:r>
      <w:r w:rsidRPr="009B467F">
        <w:rPr>
          <w:rFonts w:ascii="Times New Roman" w:hAnsi="Times New Roman"/>
          <w:sz w:val="28"/>
          <w:szCs w:val="28"/>
        </w:rPr>
        <w:t xml:space="preserve">тыс. рублей.      </w:t>
      </w:r>
    </w:p>
    <w:p w:rsidR="009B467F" w:rsidRPr="009B467F" w:rsidRDefault="009B467F" w:rsidP="009B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B467F">
        <w:rPr>
          <w:rFonts w:ascii="Times New Roman" w:hAnsi="Times New Roman"/>
          <w:sz w:val="28"/>
          <w:szCs w:val="28"/>
        </w:rPr>
        <w:t>Изменения, внесенные в расходную часть бюджета на 2022 год, приведены в Приложении 1 к Заключению.</w:t>
      </w:r>
    </w:p>
    <w:p w:rsidR="00553C73" w:rsidRDefault="009B467F" w:rsidP="009B46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753A4">
        <w:rPr>
          <w:rFonts w:ascii="Times New Roman" w:hAnsi="Times New Roman"/>
          <w:sz w:val="28"/>
          <w:szCs w:val="28"/>
        </w:rPr>
        <w:t xml:space="preserve">За счет дополнительно поступивших субсидий из областного бюджета в сумме </w:t>
      </w:r>
      <w:r>
        <w:rPr>
          <w:rFonts w:ascii="Times New Roman" w:hAnsi="Times New Roman"/>
          <w:sz w:val="28"/>
          <w:szCs w:val="28"/>
        </w:rPr>
        <w:t xml:space="preserve">35,9 </w:t>
      </w:r>
      <w:r w:rsidRPr="008753A4">
        <w:rPr>
          <w:rFonts w:ascii="Times New Roman" w:hAnsi="Times New Roman"/>
          <w:sz w:val="28"/>
          <w:szCs w:val="28"/>
        </w:rPr>
        <w:t>тыс. рублей будут увеличены расходы на реализацию</w:t>
      </w:r>
      <w:r>
        <w:rPr>
          <w:rFonts w:ascii="Times New Roman" w:hAnsi="Times New Roman"/>
          <w:sz w:val="28"/>
          <w:szCs w:val="28"/>
        </w:rPr>
        <w:t xml:space="preserve"> мероприятий по </w:t>
      </w:r>
      <w:r w:rsidR="00C91935">
        <w:rPr>
          <w:rFonts w:ascii="Times New Roman" w:hAnsi="Times New Roman"/>
          <w:sz w:val="28"/>
          <w:szCs w:val="28"/>
        </w:rPr>
        <w:t xml:space="preserve">организации уличного освещения </w:t>
      </w: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4D3DD0">
        <w:rPr>
          <w:rFonts w:ascii="Times New Roman" w:hAnsi="Times New Roman"/>
          <w:i/>
          <w:sz w:val="28"/>
          <w:szCs w:val="28"/>
        </w:rPr>
        <w:t>0</w:t>
      </w:r>
      <w:r w:rsidR="00C91935">
        <w:rPr>
          <w:rFonts w:ascii="Times New Roman" w:hAnsi="Times New Roman"/>
          <w:i/>
          <w:sz w:val="28"/>
          <w:szCs w:val="28"/>
        </w:rPr>
        <w:t>5</w:t>
      </w:r>
      <w:r w:rsidRPr="004D3DD0">
        <w:rPr>
          <w:rFonts w:ascii="Times New Roman" w:hAnsi="Times New Roman"/>
          <w:i/>
          <w:sz w:val="28"/>
          <w:szCs w:val="28"/>
        </w:rPr>
        <w:t>0</w:t>
      </w:r>
      <w:r w:rsidR="00C91935">
        <w:rPr>
          <w:rFonts w:ascii="Times New Roman" w:hAnsi="Times New Roman"/>
          <w:i/>
          <w:sz w:val="28"/>
          <w:szCs w:val="28"/>
        </w:rPr>
        <w:t>2</w:t>
      </w:r>
      <w:r w:rsidRPr="004D3DD0">
        <w:rPr>
          <w:rFonts w:ascii="Times New Roman" w:hAnsi="Times New Roman"/>
          <w:i/>
          <w:sz w:val="28"/>
          <w:szCs w:val="28"/>
        </w:rPr>
        <w:t xml:space="preserve"> «</w:t>
      </w:r>
      <w:r w:rsidR="00C91935">
        <w:rPr>
          <w:rFonts w:ascii="Times New Roman" w:hAnsi="Times New Roman"/>
          <w:i/>
          <w:sz w:val="28"/>
          <w:szCs w:val="28"/>
        </w:rPr>
        <w:t xml:space="preserve">Коммунальное хозяйство». </w:t>
      </w:r>
    </w:p>
    <w:p w:rsidR="00C91935" w:rsidRPr="00C91935" w:rsidRDefault="00C91935" w:rsidP="00C9193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91935">
        <w:rPr>
          <w:rFonts w:ascii="Times New Roman" w:hAnsi="Times New Roman"/>
          <w:sz w:val="28"/>
          <w:szCs w:val="28"/>
        </w:rPr>
        <w:t xml:space="preserve">Поступившие средства субвенции на осуществление первичного воинского учета в сумме </w:t>
      </w:r>
      <w:r>
        <w:rPr>
          <w:rFonts w:ascii="Times New Roman" w:hAnsi="Times New Roman"/>
          <w:sz w:val="28"/>
          <w:szCs w:val="28"/>
        </w:rPr>
        <w:t>6,3</w:t>
      </w:r>
      <w:r w:rsidRPr="00C91935">
        <w:rPr>
          <w:rFonts w:ascii="Times New Roman" w:hAnsi="Times New Roman"/>
          <w:sz w:val="28"/>
          <w:szCs w:val="28"/>
        </w:rPr>
        <w:t xml:space="preserve"> тыс. рублей будут направлены на увеличение расходов на выплаты сотруднику, осуществляющему воинский учет (</w:t>
      </w:r>
      <w:r w:rsidRPr="00C91935">
        <w:rPr>
          <w:rFonts w:ascii="Times New Roman" w:hAnsi="Times New Roman"/>
          <w:i/>
          <w:sz w:val="28"/>
          <w:szCs w:val="28"/>
        </w:rPr>
        <w:t>подраздел 0203 «Мобилизационная и вневойсковая подготовка»</w:t>
      </w:r>
      <w:r w:rsidRPr="00C91935">
        <w:rPr>
          <w:rFonts w:ascii="Times New Roman" w:hAnsi="Times New Roman"/>
          <w:sz w:val="28"/>
          <w:szCs w:val="28"/>
        </w:rPr>
        <w:t xml:space="preserve"> раздела 02 «Национальная оборона»).</w:t>
      </w:r>
    </w:p>
    <w:p w:rsidR="00553C73" w:rsidRDefault="00C91935" w:rsidP="008D7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Средства дотации на поддержку мер по обеспечению сбалансированности бюджетов будут направлены на увеличение расходов на выплаты муниципальным служащим (повышение до МРОТ) в сумме 38,0 тыс. рублей (</w:t>
      </w:r>
      <w:r w:rsidRPr="00C91935">
        <w:rPr>
          <w:rFonts w:ascii="Times New Roman" w:hAnsi="Times New Roman"/>
          <w:i/>
          <w:sz w:val="28"/>
          <w:szCs w:val="28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 бюджета»</w:t>
      </w:r>
      <w:r>
        <w:rPr>
          <w:rFonts w:ascii="Times New Roman" w:hAnsi="Times New Roman"/>
          <w:sz w:val="28"/>
          <w:szCs w:val="28"/>
        </w:rPr>
        <w:t xml:space="preserve">) и на сокращение дефицита бюджета поселения.   </w:t>
      </w:r>
    </w:p>
    <w:p w:rsidR="00C91935" w:rsidRDefault="00C91935" w:rsidP="00C9193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91935">
        <w:rPr>
          <w:rFonts w:ascii="Times New Roman" w:hAnsi="Times New Roman"/>
          <w:sz w:val="28"/>
          <w:szCs w:val="28"/>
        </w:rPr>
        <w:t>В</w:t>
      </w:r>
      <w:r w:rsidRPr="00C91935">
        <w:rPr>
          <w:rFonts w:ascii="Times New Roman" w:hAnsi="Times New Roman"/>
          <w:sz w:val="28"/>
          <w:szCs w:val="28"/>
          <w:lang w:eastAsia="ru-RU"/>
        </w:rPr>
        <w:t xml:space="preserve"> связи с увеличением расходов </w:t>
      </w:r>
      <w:r w:rsidRPr="00C91935">
        <w:rPr>
          <w:rFonts w:ascii="Times New Roman" w:hAnsi="Times New Roman"/>
          <w:sz w:val="28"/>
          <w:szCs w:val="28"/>
        </w:rPr>
        <w:t>на оплату персоналу, о</w:t>
      </w:r>
      <w:r w:rsidRPr="00C91935">
        <w:rPr>
          <w:rFonts w:ascii="Times New Roman" w:hAnsi="Times New Roman"/>
          <w:sz w:val="28"/>
          <w:szCs w:val="28"/>
          <w:lang w:eastAsia="ru-RU"/>
        </w:rPr>
        <w:t xml:space="preserve">бъем расходов на 2022 год, запланированный бюджетом на оплату труда персонала (кроме работников, не являющихся муниципальными служащими), составит </w:t>
      </w:r>
      <w:r>
        <w:rPr>
          <w:rFonts w:ascii="Times New Roman" w:hAnsi="Times New Roman"/>
          <w:sz w:val="28"/>
          <w:szCs w:val="28"/>
          <w:lang w:eastAsia="ru-RU"/>
        </w:rPr>
        <w:t>1932,9</w:t>
      </w:r>
      <w:r w:rsidRPr="00C91935">
        <w:rPr>
          <w:rFonts w:ascii="Times New Roman" w:hAnsi="Times New Roman"/>
          <w:sz w:val="28"/>
          <w:szCs w:val="28"/>
          <w:lang w:eastAsia="ru-RU"/>
        </w:rPr>
        <w:t xml:space="preserve"> тыс. рублей. Объем расходов соответствует нормативу </w:t>
      </w:r>
      <w:r w:rsidR="0081042C">
        <w:rPr>
          <w:rFonts w:ascii="Times New Roman" w:hAnsi="Times New Roman"/>
          <w:sz w:val="28"/>
          <w:szCs w:val="28"/>
          <w:lang w:eastAsia="ru-RU"/>
        </w:rPr>
        <w:t>2189,0</w:t>
      </w:r>
      <w:r w:rsidRPr="00C91935">
        <w:rPr>
          <w:rFonts w:ascii="Times New Roman" w:hAnsi="Times New Roman"/>
          <w:sz w:val="28"/>
          <w:szCs w:val="28"/>
          <w:lang w:eastAsia="ru-RU"/>
        </w:rPr>
        <w:t xml:space="preserve">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</w:t>
      </w:r>
      <w:r w:rsidR="0081042C">
        <w:rPr>
          <w:rFonts w:ascii="Times New Roman" w:hAnsi="Times New Roman"/>
          <w:sz w:val="28"/>
          <w:szCs w:val="28"/>
          <w:lang w:eastAsia="ru-RU"/>
        </w:rPr>
        <w:t>ований области» (с изменениями).</w:t>
      </w:r>
    </w:p>
    <w:p w:rsidR="0081042C" w:rsidRPr="0081042C" w:rsidRDefault="0081042C" w:rsidP="008104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1042C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в доходную и расходные части бюджета дефицит бюджета сократится на </w:t>
      </w:r>
      <w:r>
        <w:rPr>
          <w:rFonts w:ascii="Times New Roman" w:hAnsi="Times New Roman"/>
          <w:sz w:val="28"/>
          <w:szCs w:val="28"/>
          <w:lang w:eastAsia="ru-RU"/>
        </w:rPr>
        <w:t>6053,0</w:t>
      </w:r>
      <w:r w:rsidRPr="0081042C">
        <w:rPr>
          <w:rFonts w:ascii="Times New Roman" w:hAnsi="Times New Roman"/>
          <w:sz w:val="28"/>
          <w:szCs w:val="28"/>
          <w:lang w:eastAsia="ru-RU"/>
        </w:rPr>
        <w:t xml:space="preserve"> тыс. рублей. Проектом решения утверждается профицит в сумме 133,1 тыс. рублей. </w:t>
      </w:r>
    </w:p>
    <w:p w:rsidR="005D02E5" w:rsidRDefault="0081042C" w:rsidP="008104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Pr="00645ACC">
        <w:rPr>
          <w:rFonts w:ascii="Times New Roman" w:hAnsi="Times New Roman"/>
          <w:sz w:val="28"/>
          <w:szCs w:val="28"/>
        </w:rPr>
        <w:t xml:space="preserve"> изменения в финансирование муниципальных программ</w:t>
      </w:r>
      <w:r>
        <w:rPr>
          <w:rFonts w:ascii="Times New Roman" w:hAnsi="Times New Roman"/>
          <w:sz w:val="28"/>
          <w:szCs w:val="28"/>
        </w:rPr>
        <w:t xml:space="preserve"> на 2022 год. Общий объем средств, направляемый на реализацию муниципальных программ, увеличится на 35,9 тыс. рублей (+1,6%) и составит в 2022 году 2278,3 </w:t>
      </w:r>
      <w:r w:rsidRPr="0099764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или 16,0 % от общего объема расходов бюджета поселения на 2022 год.</w:t>
      </w:r>
      <w:r w:rsidR="0070528D">
        <w:rPr>
          <w:rFonts w:ascii="Times New Roman" w:hAnsi="Times New Roman"/>
          <w:iCs/>
          <w:sz w:val="28"/>
          <w:szCs w:val="28"/>
        </w:rPr>
        <w:t xml:space="preserve"> </w:t>
      </w:r>
    </w:p>
    <w:p w:rsidR="00163E3E" w:rsidRDefault="0081042C" w:rsidP="007A4CD8">
      <w:pPr>
        <w:tabs>
          <w:tab w:val="left" w:pos="567"/>
          <w:tab w:val="left" w:pos="709"/>
        </w:tabs>
        <w:spacing w:after="12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1042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от 17.12.2021 года № 246 «О бюджете сельского поселения Анхимовское на 2022 год и плановый период 2023 и 2024 годов».</w:t>
      </w:r>
      <w:r w:rsidR="003238E6">
        <w:rPr>
          <w:rFonts w:ascii="Times New Roman" w:hAnsi="Times New Roman"/>
          <w:sz w:val="28"/>
          <w:szCs w:val="28"/>
        </w:rPr>
        <w:t xml:space="preserve">    </w:t>
      </w:r>
      <w:r w:rsidR="005D02E5">
        <w:rPr>
          <w:rFonts w:ascii="Times New Roman" w:hAnsi="Times New Roman"/>
          <w:sz w:val="28"/>
          <w:szCs w:val="28"/>
        </w:rPr>
        <w:t xml:space="preserve">  </w:t>
      </w:r>
    </w:p>
    <w:p w:rsidR="00861CA2" w:rsidRDefault="00E75D8A" w:rsidP="007A4CD8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079AA">
        <w:rPr>
          <w:b/>
          <w:sz w:val="28"/>
          <w:szCs w:val="28"/>
        </w:rPr>
        <w:t xml:space="preserve">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B1235B" w:rsidRDefault="002E63EA" w:rsidP="007A4C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</w:t>
      </w:r>
      <w:r w:rsidR="00B1235B" w:rsidRPr="002A1EB5">
        <w:rPr>
          <w:rFonts w:ascii="Times New Roman" w:hAnsi="Times New Roman"/>
          <w:sz w:val="28"/>
          <w:szCs w:val="28"/>
        </w:rPr>
        <w:lastRenderedPageBreak/>
        <w:t>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</w:p>
    <w:p w:rsidR="0074738A" w:rsidRDefault="00B1235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E75D8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p w:rsidR="009B467F" w:rsidRDefault="009B467F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67F" w:rsidRDefault="009B467F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67F" w:rsidRDefault="009B467F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67F" w:rsidRPr="008F616A" w:rsidRDefault="009B467F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B467F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C42" w:rsidRDefault="00371C42" w:rsidP="00923E33">
      <w:pPr>
        <w:spacing w:after="0" w:line="240" w:lineRule="auto"/>
      </w:pPr>
      <w:r>
        <w:separator/>
      </w:r>
    </w:p>
  </w:endnote>
  <w:endnote w:type="continuationSeparator" w:id="0">
    <w:p w:rsidR="00371C42" w:rsidRDefault="00371C42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C42" w:rsidRDefault="00371C42" w:rsidP="00923E33">
      <w:pPr>
        <w:spacing w:after="0" w:line="240" w:lineRule="auto"/>
      </w:pPr>
      <w:r>
        <w:separator/>
      </w:r>
    </w:p>
  </w:footnote>
  <w:footnote w:type="continuationSeparator" w:id="0">
    <w:p w:rsidR="00371C42" w:rsidRDefault="00371C42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D07"/>
    <w:rsid w:val="00057D5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060C8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3E3E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953A1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E7561"/>
    <w:rsid w:val="001F459B"/>
    <w:rsid w:val="001F4B70"/>
    <w:rsid w:val="002019A4"/>
    <w:rsid w:val="00206AFC"/>
    <w:rsid w:val="002109E0"/>
    <w:rsid w:val="00211CAD"/>
    <w:rsid w:val="00221D96"/>
    <w:rsid w:val="00222127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1C42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1CEF"/>
    <w:rsid w:val="003F3BB0"/>
    <w:rsid w:val="003F6939"/>
    <w:rsid w:val="00404CA8"/>
    <w:rsid w:val="004132A9"/>
    <w:rsid w:val="00414502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A7ED1"/>
    <w:rsid w:val="004B17B0"/>
    <w:rsid w:val="004B3D8B"/>
    <w:rsid w:val="004B62D5"/>
    <w:rsid w:val="004C3AD8"/>
    <w:rsid w:val="004C5B44"/>
    <w:rsid w:val="004D2018"/>
    <w:rsid w:val="004D5A5E"/>
    <w:rsid w:val="004D797C"/>
    <w:rsid w:val="004E0C93"/>
    <w:rsid w:val="004E37DE"/>
    <w:rsid w:val="004E3E16"/>
    <w:rsid w:val="004E416E"/>
    <w:rsid w:val="004F2CC3"/>
    <w:rsid w:val="004F45A8"/>
    <w:rsid w:val="004F78EC"/>
    <w:rsid w:val="00500053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017"/>
    <w:rsid w:val="005505B9"/>
    <w:rsid w:val="005523D5"/>
    <w:rsid w:val="0055310B"/>
    <w:rsid w:val="00553C73"/>
    <w:rsid w:val="00557438"/>
    <w:rsid w:val="00564111"/>
    <w:rsid w:val="005641CC"/>
    <w:rsid w:val="00565796"/>
    <w:rsid w:val="0056654B"/>
    <w:rsid w:val="00566B55"/>
    <w:rsid w:val="00567EAD"/>
    <w:rsid w:val="00571EAD"/>
    <w:rsid w:val="0057470F"/>
    <w:rsid w:val="00577D1B"/>
    <w:rsid w:val="00581603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02E5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775DA"/>
    <w:rsid w:val="006806D1"/>
    <w:rsid w:val="00681F26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5F9C"/>
    <w:rsid w:val="006E7242"/>
    <w:rsid w:val="007007BA"/>
    <w:rsid w:val="0070528D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CD8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042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347B"/>
    <w:rsid w:val="008A4161"/>
    <w:rsid w:val="008B1240"/>
    <w:rsid w:val="008B3009"/>
    <w:rsid w:val="008B5429"/>
    <w:rsid w:val="008B571C"/>
    <w:rsid w:val="008C0F34"/>
    <w:rsid w:val="008D021D"/>
    <w:rsid w:val="008D0FEC"/>
    <w:rsid w:val="008D6CBE"/>
    <w:rsid w:val="008D6ECF"/>
    <w:rsid w:val="008D74F1"/>
    <w:rsid w:val="008E38BD"/>
    <w:rsid w:val="008E47D1"/>
    <w:rsid w:val="008E57A1"/>
    <w:rsid w:val="008E58E7"/>
    <w:rsid w:val="008E6511"/>
    <w:rsid w:val="008E72D9"/>
    <w:rsid w:val="008E73EB"/>
    <w:rsid w:val="008F20BA"/>
    <w:rsid w:val="008F4D4E"/>
    <w:rsid w:val="008F616A"/>
    <w:rsid w:val="0090008A"/>
    <w:rsid w:val="00900288"/>
    <w:rsid w:val="00901D36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473C7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467F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6D38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52B6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9579B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1935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185"/>
    <w:rsid w:val="00E26903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5D8A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137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11B2-2EA7-4FFE-B1F6-6FE81051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86</cp:revision>
  <cp:lastPrinted>2022-11-24T12:18:00Z</cp:lastPrinted>
  <dcterms:created xsi:type="dcterms:W3CDTF">2018-05-17T09:59:00Z</dcterms:created>
  <dcterms:modified xsi:type="dcterms:W3CDTF">2022-11-24T12:34:00Z</dcterms:modified>
</cp:coreProperties>
</file>