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C11CA4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</w:t>
      </w:r>
      <w:r w:rsidR="009C09EE">
        <w:rPr>
          <w:rFonts w:ascii="Times New Roman" w:hAnsi="Times New Roman"/>
          <w:sz w:val="28"/>
          <w:szCs w:val="28"/>
        </w:rPr>
        <w:t>.2022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9C09EE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9C09EE">
        <w:rPr>
          <w:rFonts w:ascii="Times New Roman" w:hAnsi="Times New Roman"/>
          <w:sz w:val="28"/>
          <w:szCs w:val="28"/>
        </w:rPr>
        <w:t>на 2022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>дам и расходам в сумме 152091,7</w:t>
      </w:r>
      <w:r w:rsidRPr="009C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C09EE">
        <w:rPr>
          <w:rFonts w:ascii="Times New Roman" w:hAnsi="Times New Roman"/>
          <w:sz w:val="28"/>
          <w:szCs w:val="28"/>
        </w:rPr>
        <w:t xml:space="preserve">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на 2022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 w:rsidR="0026757E">
        <w:rPr>
          <w:rFonts w:ascii="Times New Roman" w:hAnsi="Times New Roman"/>
          <w:sz w:val="28"/>
          <w:szCs w:val="28"/>
        </w:rPr>
        <w:t>бюджета</w:t>
      </w:r>
      <w:r w:rsidR="00C11CA4">
        <w:rPr>
          <w:rFonts w:ascii="Times New Roman" w:hAnsi="Times New Roman"/>
          <w:sz w:val="28"/>
          <w:szCs w:val="28"/>
        </w:rPr>
        <w:t xml:space="preserve"> МО сокращается на 0,1 </w:t>
      </w:r>
      <w:proofErr w:type="spellStart"/>
      <w:r w:rsidR="00C11C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6757E">
        <w:rPr>
          <w:rFonts w:ascii="Times New Roman" w:hAnsi="Times New Roman"/>
          <w:sz w:val="28"/>
          <w:szCs w:val="28"/>
        </w:rPr>
        <w:t>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C11CA4">
        <w:rPr>
          <w:rFonts w:ascii="Times New Roman" w:hAnsi="Times New Roman"/>
          <w:sz w:val="28"/>
          <w:szCs w:val="28"/>
        </w:rPr>
        <w:t>ходов на 0,1</w:t>
      </w:r>
      <w:r w:rsidR="002675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57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11CA4">
        <w:rPr>
          <w:rFonts w:ascii="Times New Roman" w:hAnsi="Times New Roman"/>
          <w:sz w:val="28"/>
          <w:szCs w:val="28"/>
        </w:rPr>
        <w:t xml:space="preserve"> </w:t>
      </w:r>
      <w:r w:rsidR="00F527A5">
        <w:rPr>
          <w:rFonts w:ascii="Times New Roman" w:hAnsi="Times New Roman"/>
          <w:sz w:val="28"/>
          <w:szCs w:val="28"/>
        </w:rPr>
        <w:t xml:space="preserve">.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9EE">
        <w:rPr>
          <w:rFonts w:ascii="Times New Roman" w:hAnsi="Times New Roman"/>
          <w:sz w:val="28"/>
          <w:szCs w:val="28"/>
        </w:rPr>
        <w:t xml:space="preserve">       В связи с вносимыми изменениями в доходную и расходную части </w:t>
      </w:r>
      <w:r>
        <w:rPr>
          <w:rFonts w:ascii="Times New Roman" w:hAnsi="Times New Roman"/>
          <w:sz w:val="28"/>
          <w:szCs w:val="28"/>
        </w:rPr>
        <w:t>бюдже</w:t>
      </w:r>
      <w:r w:rsidR="009E0569">
        <w:rPr>
          <w:rFonts w:ascii="Times New Roman" w:hAnsi="Times New Roman"/>
          <w:sz w:val="28"/>
          <w:szCs w:val="28"/>
        </w:rPr>
        <w:t>та, проектом решения размер</w:t>
      </w:r>
      <w:r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бюджета </w:t>
      </w:r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</w:t>
      </w:r>
      <w:proofErr w:type="gramEnd"/>
      <w:r w:rsidR="009E0569">
        <w:rPr>
          <w:rFonts w:ascii="Times New Roman" w:hAnsi="Times New Roman"/>
          <w:sz w:val="28"/>
          <w:szCs w:val="28"/>
        </w:rPr>
        <w:t>утвержден</w:t>
      </w:r>
      <w:r w:rsidR="00533912">
        <w:rPr>
          <w:rFonts w:ascii="Times New Roman" w:hAnsi="Times New Roman"/>
          <w:sz w:val="28"/>
          <w:szCs w:val="28"/>
        </w:rPr>
        <w:t xml:space="preserve"> в объеме 12266,4</w:t>
      </w:r>
      <w:r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9E0569">
        <w:rPr>
          <w:rFonts w:ascii="Times New Roman" w:hAnsi="Times New Roman"/>
          <w:sz w:val="28"/>
          <w:szCs w:val="28"/>
        </w:rPr>
        <w:t>) не изменяется</w:t>
      </w:r>
      <w:r w:rsidRPr="009C09EE">
        <w:rPr>
          <w:rFonts w:ascii="Times New Roman" w:hAnsi="Times New Roman"/>
          <w:sz w:val="28"/>
          <w:szCs w:val="28"/>
        </w:rPr>
        <w:t>. Источниками финансирования дефицита бюджета является изменение остатков средств на счетах бю</w:t>
      </w:r>
      <w:r w:rsidR="00533912">
        <w:rPr>
          <w:rFonts w:ascii="Times New Roman" w:hAnsi="Times New Roman"/>
          <w:sz w:val="28"/>
          <w:szCs w:val="28"/>
        </w:rPr>
        <w:t>джета по состоянию на 01 01.2022</w:t>
      </w:r>
      <w:r w:rsidRPr="009C09EE">
        <w:rPr>
          <w:rFonts w:ascii="Times New Roman" w:hAnsi="Times New Roman"/>
          <w:sz w:val="28"/>
          <w:szCs w:val="28"/>
        </w:rPr>
        <w:t xml:space="preserve"> года. </w:t>
      </w:r>
      <w:r w:rsidR="009E0569">
        <w:rPr>
          <w:rFonts w:ascii="Times New Roman" w:hAnsi="Times New Roman"/>
          <w:sz w:val="28"/>
          <w:szCs w:val="28"/>
        </w:rPr>
        <w:t>О</w:t>
      </w:r>
      <w:r w:rsidRPr="009C09EE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16.02.2021 г. № 243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C11CA4" w:rsidRPr="0080722D" w:rsidTr="00643F52">
        <w:trPr>
          <w:trHeight w:val="407"/>
        </w:trPr>
        <w:tc>
          <w:tcPr>
            <w:tcW w:w="2972" w:type="dxa"/>
          </w:tcPr>
          <w:p w:rsidR="00C11CA4" w:rsidRPr="009D0C06" w:rsidRDefault="00C11CA4" w:rsidP="00C11CA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146837,4</w:t>
            </w:r>
          </w:p>
        </w:tc>
        <w:tc>
          <w:tcPr>
            <w:tcW w:w="1984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146837,3</w:t>
            </w:r>
          </w:p>
        </w:tc>
        <w:tc>
          <w:tcPr>
            <w:tcW w:w="1559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1163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-0,00 %</w:t>
            </w:r>
          </w:p>
        </w:tc>
      </w:tr>
      <w:tr w:rsidR="00C11CA4" w:rsidRPr="0080722D" w:rsidTr="00643F52">
        <w:trPr>
          <w:trHeight w:val="321"/>
        </w:trPr>
        <w:tc>
          <w:tcPr>
            <w:tcW w:w="2972" w:type="dxa"/>
          </w:tcPr>
          <w:p w:rsidR="00C11CA4" w:rsidRPr="009D0C06" w:rsidRDefault="00C11CA4" w:rsidP="00C11CA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984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559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CA4" w:rsidRPr="0080722D" w:rsidTr="00643F52">
        <w:trPr>
          <w:trHeight w:val="391"/>
        </w:trPr>
        <w:tc>
          <w:tcPr>
            <w:tcW w:w="2972" w:type="dxa"/>
          </w:tcPr>
          <w:p w:rsidR="00C11CA4" w:rsidRPr="009D0C06" w:rsidRDefault="00C11CA4" w:rsidP="00C11CA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104580,4</w:t>
            </w:r>
          </w:p>
        </w:tc>
        <w:tc>
          <w:tcPr>
            <w:tcW w:w="1984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104580,3</w:t>
            </w:r>
          </w:p>
        </w:tc>
        <w:tc>
          <w:tcPr>
            <w:tcW w:w="1559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1163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-0,00 %</w:t>
            </w:r>
          </w:p>
        </w:tc>
      </w:tr>
      <w:tr w:rsidR="00C11CA4" w:rsidRPr="0080722D" w:rsidTr="00643F52">
        <w:trPr>
          <w:trHeight w:val="409"/>
        </w:trPr>
        <w:tc>
          <w:tcPr>
            <w:tcW w:w="2972" w:type="dxa"/>
          </w:tcPr>
          <w:p w:rsidR="00C11CA4" w:rsidRPr="009D0C06" w:rsidRDefault="00C11CA4" w:rsidP="00C11CA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159103,8</w:t>
            </w:r>
          </w:p>
        </w:tc>
        <w:tc>
          <w:tcPr>
            <w:tcW w:w="1984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159103,7</w:t>
            </w:r>
          </w:p>
        </w:tc>
        <w:tc>
          <w:tcPr>
            <w:tcW w:w="1559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1163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-0,00 %</w:t>
            </w:r>
          </w:p>
        </w:tc>
      </w:tr>
      <w:tr w:rsidR="00C11CA4" w:rsidRPr="0080722D" w:rsidTr="00643F52">
        <w:trPr>
          <w:trHeight w:val="391"/>
        </w:trPr>
        <w:tc>
          <w:tcPr>
            <w:tcW w:w="2972" w:type="dxa"/>
          </w:tcPr>
          <w:p w:rsidR="00C11CA4" w:rsidRPr="009D0C06" w:rsidRDefault="00C11CA4" w:rsidP="00C11CA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984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559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C11CA4" w:rsidRPr="00643F52" w:rsidRDefault="00C11CA4" w:rsidP="00C11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12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решения не предусмотрена корректировка плановых показателей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доходов (изменение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>).</w:t>
      </w:r>
    </w:p>
    <w:p w:rsidR="009E0569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3B555D" w:rsidRPr="003B555D">
        <w:rPr>
          <w:rFonts w:ascii="Times New Roman" w:hAnsi="Times New Roman"/>
          <w:sz w:val="28"/>
          <w:szCs w:val="28"/>
        </w:rPr>
        <w:t>внести изменения в объем безвозмездных поступлений</w:t>
      </w:r>
      <w:r w:rsidR="00C11CA4">
        <w:rPr>
          <w:rFonts w:ascii="Times New Roman" w:hAnsi="Times New Roman"/>
          <w:sz w:val="28"/>
          <w:szCs w:val="28"/>
        </w:rPr>
        <w:t xml:space="preserve"> (-0,1</w:t>
      </w:r>
      <w:r w:rsidR="003B5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55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555D">
        <w:rPr>
          <w:rFonts w:ascii="Times New Roman" w:hAnsi="Times New Roman"/>
          <w:sz w:val="28"/>
          <w:szCs w:val="28"/>
        </w:rPr>
        <w:t>)</w:t>
      </w:r>
      <w:r w:rsidR="003B555D" w:rsidRPr="003B555D">
        <w:rPr>
          <w:rFonts w:ascii="Times New Roman" w:hAnsi="Times New Roman"/>
          <w:sz w:val="28"/>
          <w:szCs w:val="28"/>
        </w:rPr>
        <w:t>, в том числе</w:t>
      </w:r>
      <w:r w:rsidR="009E0569">
        <w:rPr>
          <w:rFonts w:ascii="Times New Roman" w:hAnsi="Times New Roman"/>
          <w:sz w:val="28"/>
          <w:szCs w:val="28"/>
        </w:rPr>
        <w:t>:</w:t>
      </w:r>
    </w:p>
    <w:p w:rsidR="009E0569" w:rsidRDefault="00D00E1D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</w:t>
      </w:r>
      <w:r w:rsidR="009E0569">
        <w:rPr>
          <w:rFonts w:ascii="Times New Roman" w:hAnsi="Times New Roman"/>
          <w:sz w:val="28"/>
          <w:szCs w:val="28"/>
        </w:rPr>
        <w:t xml:space="preserve"> объема </w:t>
      </w:r>
      <w:r w:rsidR="00C11CA4">
        <w:rPr>
          <w:rFonts w:ascii="Times New Roman" w:hAnsi="Times New Roman"/>
          <w:sz w:val="28"/>
          <w:szCs w:val="28"/>
        </w:rPr>
        <w:t>безвозмездных поступлений от физических лиц.</w:t>
      </w:r>
    </w:p>
    <w:p w:rsidR="00E928EA" w:rsidRPr="00B022D5" w:rsidRDefault="00E928EA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3912">
        <w:rPr>
          <w:rFonts w:ascii="Times New Roman" w:hAnsi="Times New Roman"/>
          <w:sz w:val="28"/>
          <w:szCs w:val="28"/>
        </w:rPr>
        <w:t xml:space="preserve">на 2022 год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</w:t>
      </w:r>
      <w:r w:rsidR="00C11CA4">
        <w:rPr>
          <w:rFonts w:ascii="Times New Roman" w:hAnsi="Times New Roman"/>
          <w:sz w:val="28"/>
          <w:szCs w:val="28"/>
        </w:rPr>
        <w:t>ердить  в</w:t>
      </w:r>
      <w:proofErr w:type="gramEnd"/>
      <w:r w:rsidR="00C11CA4">
        <w:rPr>
          <w:rFonts w:ascii="Times New Roman" w:hAnsi="Times New Roman"/>
          <w:sz w:val="28"/>
          <w:szCs w:val="28"/>
        </w:rPr>
        <w:t xml:space="preserve"> сумме 146837,3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31486D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C11CA4">
        <w:rPr>
          <w:rFonts w:ascii="Times New Roman" w:hAnsi="Times New Roman"/>
          <w:sz w:val="28"/>
          <w:szCs w:val="28"/>
        </w:rPr>
        <w:t>сокращается на 0,1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E056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составит 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r w:rsidR="00C11CA4">
        <w:rPr>
          <w:rFonts w:ascii="Times New Roman" w:hAnsi="Times New Roman"/>
          <w:sz w:val="28"/>
          <w:szCs w:val="28"/>
        </w:rPr>
        <w:t>159103</w:t>
      </w:r>
      <w:proofErr w:type="gramEnd"/>
      <w:r w:rsidR="00C11CA4">
        <w:rPr>
          <w:rFonts w:ascii="Times New Roman" w:hAnsi="Times New Roman"/>
          <w:sz w:val="28"/>
          <w:szCs w:val="28"/>
        </w:rPr>
        <w:t>,7</w:t>
      </w:r>
      <w:r w:rsidR="009E0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533912" w:rsidRDefault="0053391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1796A" w:rsidRDefault="00C11CA4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Сокащение</w:t>
      </w:r>
      <w:proofErr w:type="spellEnd"/>
      <w:r w:rsidR="00A1796A">
        <w:rPr>
          <w:rFonts w:ascii="Times New Roman" w:hAnsi="Times New Roman"/>
          <w:sz w:val="28"/>
          <w:szCs w:val="28"/>
        </w:rPr>
        <w:t xml:space="preserve"> плановых ассигнований в разделе </w:t>
      </w:r>
      <w:r w:rsidR="00A1796A" w:rsidRPr="00A1796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A179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 329,4</w:t>
      </w:r>
      <w:r w:rsidR="00FD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8BA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(-2,1</w:t>
      </w:r>
      <w:r w:rsidR="00CD5A67">
        <w:rPr>
          <w:rFonts w:ascii="Times New Roman" w:hAnsi="Times New Roman"/>
          <w:sz w:val="28"/>
          <w:szCs w:val="28"/>
        </w:rPr>
        <w:t xml:space="preserve"> %). Доля раздела в общи</w:t>
      </w:r>
      <w:r>
        <w:rPr>
          <w:rFonts w:ascii="Times New Roman" w:hAnsi="Times New Roman"/>
          <w:sz w:val="28"/>
          <w:szCs w:val="28"/>
        </w:rPr>
        <w:t>х расходах бюджета составит 9,5</w:t>
      </w:r>
      <w:r w:rsidR="00CD5A67">
        <w:rPr>
          <w:rFonts w:ascii="Times New Roman" w:hAnsi="Times New Roman"/>
          <w:sz w:val="28"/>
          <w:szCs w:val="28"/>
        </w:rPr>
        <w:t xml:space="preserve"> %</w:t>
      </w:r>
      <w:r w:rsidR="00FD28BA">
        <w:rPr>
          <w:rFonts w:ascii="Times New Roman" w:hAnsi="Times New Roman"/>
          <w:sz w:val="28"/>
          <w:szCs w:val="28"/>
        </w:rPr>
        <w:t>.</w:t>
      </w:r>
    </w:p>
    <w:p w:rsidR="00CD5A67" w:rsidRPr="00CD5A67" w:rsidRDefault="00CD5A67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ассигнования в </w:t>
      </w:r>
      <w:r w:rsidR="00C11CA4">
        <w:rPr>
          <w:rFonts w:ascii="Times New Roman" w:hAnsi="Times New Roman"/>
          <w:i/>
          <w:sz w:val="28"/>
          <w:szCs w:val="28"/>
        </w:rPr>
        <w:t>подразделе 0113 «Другие общегосударственные вопросы</w:t>
      </w:r>
      <w:r w:rsidRPr="00CD5A67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11CA4">
        <w:rPr>
          <w:rFonts w:ascii="Times New Roman" w:hAnsi="Times New Roman"/>
          <w:sz w:val="28"/>
          <w:szCs w:val="28"/>
        </w:rPr>
        <w:t xml:space="preserve">сокращаются на 329,4 </w:t>
      </w:r>
      <w:proofErr w:type="spellStart"/>
      <w:r w:rsidR="00C11C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11CA4">
        <w:rPr>
          <w:rFonts w:ascii="Times New Roman" w:hAnsi="Times New Roman"/>
          <w:sz w:val="28"/>
          <w:szCs w:val="28"/>
        </w:rPr>
        <w:t xml:space="preserve"> (-25,0</w:t>
      </w:r>
      <w:r w:rsidRPr="00CD5A67">
        <w:rPr>
          <w:rFonts w:ascii="Times New Roman" w:hAnsi="Times New Roman"/>
          <w:sz w:val="28"/>
          <w:szCs w:val="28"/>
        </w:rPr>
        <w:t xml:space="preserve"> %)</w:t>
      </w:r>
      <w:r w:rsidR="00591D52">
        <w:rPr>
          <w:rFonts w:ascii="Times New Roman" w:hAnsi="Times New Roman"/>
          <w:sz w:val="28"/>
          <w:szCs w:val="28"/>
        </w:rPr>
        <w:t>:</w:t>
      </w:r>
      <w:r w:rsidRPr="00CD5A67">
        <w:rPr>
          <w:rFonts w:ascii="Times New Roman" w:hAnsi="Times New Roman"/>
          <w:sz w:val="28"/>
          <w:szCs w:val="28"/>
        </w:rPr>
        <w:t xml:space="preserve"> на </w:t>
      </w:r>
      <w:r w:rsidR="00C11CA4">
        <w:rPr>
          <w:rFonts w:ascii="Times New Roman" w:hAnsi="Times New Roman"/>
          <w:sz w:val="28"/>
          <w:szCs w:val="28"/>
        </w:rPr>
        <w:t>330</w:t>
      </w:r>
      <w:r w:rsidR="00591D52">
        <w:rPr>
          <w:rFonts w:ascii="Times New Roman" w:hAnsi="Times New Roman"/>
          <w:sz w:val="28"/>
          <w:szCs w:val="28"/>
        </w:rPr>
        <w:t xml:space="preserve">,0 </w:t>
      </w:r>
      <w:r w:rsidRPr="00CD5A67">
        <w:rPr>
          <w:rFonts w:ascii="Times New Roman" w:hAnsi="Times New Roman"/>
          <w:sz w:val="28"/>
          <w:szCs w:val="28"/>
        </w:rPr>
        <w:t xml:space="preserve">осуществление </w:t>
      </w:r>
      <w:r w:rsidR="00C11CA4">
        <w:rPr>
          <w:rFonts w:ascii="Times New Roman" w:hAnsi="Times New Roman"/>
          <w:sz w:val="28"/>
          <w:szCs w:val="28"/>
        </w:rPr>
        <w:t>возмещения расходов по исполнител</w:t>
      </w:r>
      <w:r w:rsidR="00591D52">
        <w:rPr>
          <w:rFonts w:ascii="Times New Roman" w:hAnsi="Times New Roman"/>
          <w:sz w:val="28"/>
          <w:szCs w:val="28"/>
        </w:rPr>
        <w:t xml:space="preserve">ьным листам и судебным решениям, увеличение на 0,6 </w:t>
      </w:r>
      <w:proofErr w:type="spellStart"/>
      <w:r w:rsidR="00591D5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91D52">
        <w:rPr>
          <w:rFonts w:ascii="Times New Roman" w:hAnsi="Times New Roman"/>
          <w:sz w:val="28"/>
          <w:szCs w:val="28"/>
        </w:rPr>
        <w:t xml:space="preserve"> на выполнение других обязательств государства.</w:t>
      </w:r>
    </w:p>
    <w:p w:rsidR="00AD0C49" w:rsidRDefault="00AD0C49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A67" w:rsidRDefault="00591D5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увеличение</w:t>
      </w:r>
      <w:r w:rsidR="00EC01CB">
        <w:rPr>
          <w:rFonts w:ascii="Times New Roman" w:hAnsi="Times New Roman"/>
          <w:sz w:val="28"/>
          <w:szCs w:val="28"/>
        </w:rPr>
        <w:t xml:space="preserve"> плановых</w:t>
      </w:r>
      <w:r w:rsidR="0063181A">
        <w:rPr>
          <w:rFonts w:ascii="Times New Roman" w:hAnsi="Times New Roman"/>
          <w:sz w:val="28"/>
          <w:szCs w:val="28"/>
        </w:rPr>
        <w:t xml:space="preserve"> ассигнований в разделе </w:t>
      </w:r>
      <w:r>
        <w:rPr>
          <w:rFonts w:ascii="Times New Roman" w:hAnsi="Times New Roman"/>
          <w:b/>
          <w:sz w:val="28"/>
          <w:szCs w:val="28"/>
        </w:rPr>
        <w:t>03</w:t>
      </w:r>
      <w:r w:rsidR="0063181A" w:rsidRPr="003B00C8">
        <w:rPr>
          <w:rFonts w:ascii="Times New Roman" w:hAnsi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/>
          <w:b/>
          <w:sz w:val="28"/>
          <w:szCs w:val="28"/>
        </w:rPr>
        <w:t>безопасность и правоохранительная деятельность</w:t>
      </w:r>
      <w:r w:rsidR="0063181A" w:rsidRPr="003B00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330,0</w:t>
      </w:r>
      <w:r w:rsidR="00EC01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(+44,0</w:t>
      </w:r>
      <w:r w:rsidR="00CD5A67">
        <w:rPr>
          <w:rFonts w:ascii="Times New Roman" w:hAnsi="Times New Roman"/>
          <w:sz w:val="28"/>
          <w:szCs w:val="28"/>
        </w:rPr>
        <w:t xml:space="preserve"> </w:t>
      </w:r>
      <w:r w:rsidR="003B00C8">
        <w:rPr>
          <w:rFonts w:ascii="Times New Roman" w:hAnsi="Times New Roman"/>
          <w:sz w:val="28"/>
          <w:szCs w:val="28"/>
        </w:rPr>
        <w:t>%), в том числе</w:t>
      </w:r>
      <w:r w:rsidR="00CD5A67">
        <w:rPr>
          <w:rFonts w:ascii="Times New Roman" w:hAnsi="Times New Roman"/>
          <w:sz w:val="28"/>
          <w:szCs w:val="28"/>
        </w:rPr>
        <w:t>:</w:t>
      </w:r>
    </w:p>
    <w:p w:rsidR="00945464" w:rsidRPr="00591D52" w:rsidRDefault="00654413" w:rsidP="00591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3D2">
        <w:rPr>
          <w:rFonts w:ascii="Times New Roman" w:hAnsi="Times New Roman"/>
          <w:sz w:val="28"/>
          <w:szCs w:val="28"/>
        </w:rPr>
        <w:t xml:space="preserve">- </w:t>
      </w:r>
      <w:r w:rsidR="00591D52">
        <w:rPr>
          <w:rFonts w:ascii="Times New Roman" w:hAnsi="Times New Roman"/>
          <w:sz w:val="28"/>
          <w:szCs w:val="28"/>
        </w:rPr>
        <w:t>увеличение</w:t>
      </w:r>
      <w:r w:rsidR="003B00C8" w:rsidRPr="00DE73D2">
        <w:rPr>
          <w:rFonts w:ascii="Times New Roman" w:hAnsi="Times New Roman"/>
          <w:sz w:val="28"/>
          <w:szCs w:val="28"/>
        </w:rPr>
        <w:t xml:space="preserve"> в </w:t>
      </w:r>
      <w:r w:rsidR="00591D52">
        <w:rPr>
          <w:rFonts w:ascii="Times New Roman" w:hAnsi="Times New Roman"/>
          <w:i/>
          <w:sz w:val="28"/>
          <w:szCs w:val="28"/>
        </w:rPr>
        <w:t>подразделе 0310</w:t>
      </w:r>
      <w:r w:rsidR="003B00C8" w:rsidRPr="00DE73D2">
        <w:rPr>
          <w:rFonts w:ascii="Times New Roman" w:hAnsi="Times New Roman"/>
          <w:i/>
          <w:sz w:val="28"/>
          <w:szCs w:val="28"/>
        </w:rPr>
        <w:t xml:space="preserve"> </w:t>
      </w:r>
      <w:r w:rsidR="00591D52" w:rsidRPr="00591D52">
        <w:rPr>
          <w:rFonts w:ascii="Times New Roman" w:hAnsi="Times New Roman"/>
          <w:i/>
          <w:sz w:val="28"/>
          <w:szCs w:val="28"/>
        </w:rPr>
        <w:t xml:space="preserve">«Защита населения и территории от чрезвычайных ситуаций природного и техногенного характера, пожарная безопасность». </w:t>
      </w:r>
      <w:r w:rsidR="00591D52" w:rsidRPr="00591D52">
        <w:rPr>
          <w:rFonts w:ascii="Times New Roman" w:hAnsi="Times New Roman"/>
          <w:sz w:val="28"/>
          <w:szCs w:val="28"/>
        </w:rPr>
        <w:t>Изменения связаны с реализацией мероприятий по ремонту пожарных водоемов.</w:t>
      </w:r>
    </w:p>
    <w:p w:rsidR="00E81FD5" w:rsidRDefault="00E81FD5" w:rsidP="00FD2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EB9" w:rsidRDefault="00945464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сокращение плановых ассигнований разделе</w:t>
      </w:r>
      <w:r w:rsidR="00C63994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3B0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52">
        <w:rPr>
          <w:rFonts w:ascii="Times New Roman" w:hAnsi="Times New Roman"/>
          <w:sz w:val="28"/>
          <w:szCs w:val="28"/>
          <w:lang w:eastAsia="ru-RU"/>
        </w:rPr>
        <w:t>составит 0,6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591D52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A30A7" w:rsidRDefault="00FA30A7" w:rsidP="0094546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7F2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ED3F1F">
        <w:rPr>
          <w:rFonts w:ascii="Times New Roman" w:hAnsi="Times New Roman"/>
          <w:i/>
          <w:sz w:val="28"/>
          <w:szCs w:val="28"/>
          <w:lang w:eastAsia="ru-RU"/>
        </w:rPr>
        <w:t>подраздела 0502 «Коммунальное хозяйство»</w:t>
      </w:r>
      <w:r w:rsidR="00591D52">
        <w:rPr>
          <w:rFonts w:ascii="Times New Roman" w:hAnsi="Times New Roman"/>
          <w:sz w:val="28"/>
          <w:szCs w:val="28"/>
          <w:lang w:eastAsia="ru-RU"/>
        </w:rPr>
        <w:t xml:space="preserve"> увеличиваются на 163,7</w:t>
      </w:r>
      <w:r w:rsidR="009454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91D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91D52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591D52">
        <w:rPr>
          <w:rFonts w:ascii="Times New Roman" w:hAnsi="Times New Roman"/>
          <w:sz w:val="28"/>
          <w:szCs w:val="28"/>
          <w:lang w:eastAsia="ru-RU"/>
        </w:rPr>
        <w:t xml:space="preserve">+0,4 </w:t>
      </w:r>
      <w:r>
        <w:rPr>
          <w:rFonts w:ascii="Times New Roman" w:hAnsi="Times New Roman"/>
          <w:sz w:val="28"/>
          <w:szCs w:val="28"/>
          <w:lang w:eastAsia="ru-RU"/>
        </w:rPr>
        <w:t xml:space="preserve">%), в том числе </w:t>
      </w:r>
      <w:r w:rsidR="00591D52">
        <w:rPr>
          <w:rFonts w:ascii="Times New Roman" w:hAnsi="Times New Roman"/>
          <w:sz w:val="28"/>
          <w:szCs w:val="28"/>
          <w:lang w:eastAsia="ru-RU"/>
        </w:rPr>
        <w:t>д</w:t>
      </w:r>
      <w:r w:rsidR="00413246">
        <w:rPr>
          <w:rFonts w:ascii="Times New Roman" w:hAnsi="Times New Roman"/>
          <w:sz w:val="28"/>
          <w:szCs w:val="28"/>
          <w:lang w:eastAsia="ru-RU"/>
        </w:rPr>
        <w:t>ополнительное финансирование предлагается направить на мероприя</w:t>
      </w:r>
      <w:r w:rsidR="00591D52">
        <w:rPr>
          <w:rFonts w:ascii="Times New Roman" w:hAnsi="Times New Roman"/>
          <w:sz w:val="28"/>
          <w:szCs w:val="28"/>
          <w:lang w:eastAsia="ru-RU"/>
        </w:rPr>
        <w:t>тия по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 ремонту ГРУ.</w:t>
      </w:r>
    </w:p>
    <w:p w:rsidR="00FD28BA" w:rsidRDefault="00FD28BA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246" w:rsidRPr="007C2E53" w:rsidRDefault="00FA30A7" w:rsidP="00591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7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3B00C8" w:rsidRPr="00FA30A7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3B00C8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</w:t>
      </w:r>
      <w:r w:rsidR="003B00C8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591D52">
        <w:rPr>
          <w:rFonts w:ascii="Times New Roman" w:hAnsi="Times New Roman"/>
          <w:sz w:val="28"/>
          <w:szCs w:val="28"/>
          <w:lang w:eastAsia="ru-RU"/>
        </w:rPr>
        <w:t xml:space="preserve"> сокращаются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91D52">
        <w:rPr>
          <w:rFonts w:ascii="Times New Roman" w:hAnsi="Times New Roman"/>
          <w:sz w:val="28"/>
          <w:szCs w:val="28"/>
          <w:lang w:eastAsia="ru-RU"/>
        </w:rPr>
        <w:t xml:space="preserve">164,3 </w:t>
      </w:r>
      <w:proofErr w:type="spellStart"/>
      <w:r w:rsidR="00591D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91D52">
        <w:rPr>
          <w:rFonts w:ascii="Times New Roman" w:hAnsi="Times New Roman"/>
          <w:sz w:val="28"/>
          <w:szCs w:val="28"/>
          <w:lang w:eastAsia="ru-RU"/>
        </w:rPr>
        <w:t xml:space="preserve"> (-1,1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52">
        <w:rPr>
          <w:rFonts w:ascii="Times New Roman" w:hAnsi="Times New Roman"/>
          <w:sz w:val="28"/>
          <w:szCs w:val="28"/>
          <w:lang w:eastAsia="ru-RU"/>
        </w:rPr>
        <w:t>%). С</w:t>
      </w:r>
      <w:r w:rsidR="00413246">
        <w:rPr>
          <w:rFonts w:ascii="Times New Roman" w:hAnsi="Times New Roman"/>
          <w:sz w:val="28"/>
          <w:szCs w:val="28"/>
          <w:lang w:eastAsia="ru-RU"/>
        </w:rPr>
        <w:t>окращаются ассигнования на прочие мероприятия в области бла</w:t>
      </w:r>
      <w:r w:rsidR="00591D52">
        <w:rPr>
          <w:rFonts w:ascii="Times New Roman" w:hAnsi="Times New Roman"/>
          <w:sz w:val="28"/>
          <w:szCs w:val="28"/>
          <w:lang w:eastAsia="ru-RU"/>
        </w:rPr>
        <w:t>гоустройства</w:t>
      </w:r>
      <w:r w:rsidR="00413246">
        <w:rPr>
          <w:rFonts w:ascii="Times New Roman" w:hAnsi="Times New Roman"/>
          <w:sz w:val="28"/>
          <w:szCs w:val="28"/>
          <w:lang w:eastAsia="ru-RU"/>
        </w:rPr>
        <w:t>.</w:t>
      </w:r>
    </w:p>
    <w:p w:rsidR="00E27C87" w:rsidRDefault="00E27C87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2E53" w:rsidRPr="00591D52" w:rsidRDefault="00591D5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Уточняются плановые расходы </w:t>
      </w:r>
      <w:r w:rsidRPr="00591D52">
        <w:rPr>
          <w:rFonts w:ascii="Times New Roman" w:hAnsi="Times New Roman"/>
          <w:b/>
          <w:sz w:val="28"/>
          <w:szCs w:val="28"/>
          <w:lang w:eastAsia="ru-RU"/>
        </w:rPr>
        <w:t>в разделе 08 «Культура, кинематография»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91D52">
        <w:rPr>
          <w:rFonts w:ascii="Times New Roman" w:hAnsi="Times New Roman"/>
          <w:sz w:val="28"/>
          <w:szCs w:val="28"/>
          <w:lang w:eastAsia="ru-RU"/>
        </w:rPr>
        <w:t xml:space="preserve">на 0,1 </w:t>
      </w:r>
      <w:proofErr w:type="spellStart"/>
      <w:r w:rsidRPr="00591D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Сокращение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мероприятий по реализации регионального проекта «Народный бюджет».</w:t>
      </w:r>
    </w:p>
    <w:p w:rsidR="00591D52" w:rsidRDefault="00591D5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D52" w:rsidRDefault="00591D5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D52" w:rsidRDefault="00591D5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2E53" w:rsidRDefault="007C2E53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3D2" w:rsidRDefault="00943FD6" w:rsidP="00591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связи с изменениями в расходной части бюджета и</w:t>
      </w:r>
      <w:r w:rsidR="00591D52">
        <w:rPr>
          <w:rFonts w:ascii="Times New Roman" w:hAnsi="Times New Roman"/>
          <w:sz w:val="28"/>
          <w:szCs w:val="28"/>
          <w:lang w:eastAsia="ru-RU"/>
        </w:rPr>
        <w:t>зменения</w:t>
      </w:r>
      <w:r w:rsidR="00DE73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203">
        <w:rPr>
          <w:rFonts w:ascii="Times New Roman" w:hAnsi="Times New Roman"/>
          <w:sz w:val="28"/>
          <w:szCs w:val="28"/>
          <w:lang w:eastAsia="ru-RU"/>
        </w:rPr>
        <w:t>в об</w:t>
      </w:r>
      <w:r>
        <w:rPr>
          <w:rFonts w:ascii="Times New Roman" w:hAnsi="Times New Roman"/>
          <w:sz w:val="28"/>
          <w:szCs w:val="28"/>
          <w:lang w:eastAsia="ru-RU"/>
        </w:rPr>
        <w:t>ъем финансирования муниципальных программ</w:t>
      </w:r>
      <w:r w:rsidR="00591D52">
        <w:rPr>
          <w:rFonts w:ascii="Times New Roman" w:hAnsi="Times New Roman"/>
          <w:sz w:val="28"/>
          <w:szCs w:val="28"/>
          <w:lang w:eastAsia="ru-RU"/>
        </w:rPr>
        <w:t xml:space="preserve"> не предлагается.</w:t>
      </w:r>
    </w:p>
    <w:p w:rsidR="00591D52" w:rsidRDefault="00591D52" w:rsidP="00591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943FD6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943FD6">
        <w:rPr>
          <w:rFonts w:ascii="Times New Roman" w:hAnsi="Times New Roman"/>
          <w:sz w:val="28"/>
          <w:szCs w:val="28"/>
          <w:lang w:eastAsia="ru-RU"/>
        </w:rPr>
        <w:t>ытегра» от 16.12.2021 г. № 243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943FD6">
        <w:rPr>
          <w:rFonts w:ascii="Times New Roman" w:hAnsi="Times New Roman"/>
          <w:sz w:val="28"/>
          <w:szCs w:val="28"/>
          <w:lang w:eastAsia="ru-RU"/>
        </w:rPr>
        <w:t>азования «Город Вытегра» на 2022 год и плановый период 2023 и 2024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Default="00E81FD5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73D2" w:rsidRDefault="00DE73D2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D2">
        <w:rPr>
          <w:rFonts w:ascii="Times New Roman" w:hAnsi="Times New Roman"/>
          <w:sz w:val="28"/>
          <w:szCs w:val="28"/>
          <w:lang w:eastAsia="ru-RU"/>
        </w:rPr>
        <w:t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 (с изменениями).</w:t>
      </w:r>
    </w:p>
    <w:p w:rsidR="00DE73D2" w:rsidRPr="00B022D5" w:rsidRDefault="00DE73D2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454064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43FD6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454064">
        <w:rPr>
          <w:rFonts w:ascii="Times New Roman" w:hAnsi="Times New Roman"/>
          <w:b/>
          <w:sz w:val="28"/>
          <w:szCs w:val="28"/>
          <w:u w:val="single"/>
        </w:rPr>
        <w:t>рекомендуется</w:t>
      </w:r>
      <w:r w:rsidR="00DA6F20" w:rsidRPr="004540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C246B" w:rsidRPr="00454064">
        <w:rPr>
          <w:rFonts w:ascii="Times New Roman" w:hAnsi="Times New Roman"/>
          <w:b/>
          <w:sz w:val="28"/>
          <w:szCs w:val="28"/>
          <w:u w:val="single"/>
        </w:rPr>
        <w:t>к рассмотрению</w:t>
      </w:r>
      <w:r w:rsidR="00454064" w:rsidRPr="00454064">
        <w:rPr>
          <w:rFonts w:ascii="Times New Roman" w:hAnsi="Times New Roman"/>
          <w:b/>
          <w:sz w:val="28"/>
          <w:szCs w:val="28"/>
          <w:u w:val="single"/>
        </w:rPr>
        <w:t xml:space="preserve"> с учетом поправок технического характера:</w:t>
      </w:r>
    </w:p>
    <w:p w:rsidR="00454064" w:rsidRDefault="00454064" w:rsidP="00454064">
      <w:pPr>
        <w:pStyle w:val="a9"/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пунктах 1 и 2 проекта решения цифры «156440,4» и «168706,8» заменить на цифры «146837,4» и «159103,8» соответственно;</w:t>
      </w:r>
    </w:p>
    <w:p w:rsidR="00454064" w:rsidRDefault="00454064" w:rsidP="00454064">
      <w:pPr>
        <w:pStyle w:val="a9"/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3 к проекту решения в графе 3 строки «иные межбюджетные трансферты на осуществление полномочий на реализацию мероприятий по благоустройству общественных территорий цифру «05» заменить на цифру «03»;</w:t>
      </w:r>
    </w:p>
    <w:p w:rsidR="00454064" w:rsidRDefault="00454064" w:rsidP="00454064">
      <w:pPr>
        <w:pStyle w:val="a9"/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уточняющую поправку в Пояснительную записку по разделу 03 «</w:t>
      </w:r>
      <w:r w:rsidRPr="00454064">
        <w:rPr>
          <w:rFonts w:ascii="Times New Roman" w:hAnsi="Times New Roman"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>.</w:t>
      </w:r>
    </w:p>
    <w:p w:rsidR="00454064" w:rsidRPr="00454064" w:rsidRDefault="00454064" w:rsidP="00454064">
      <w:pPr>
        <w:pStyle w:val="a9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0C21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0BC"/>
    <w:multiLevelType w:val="hybridMultilevel"/>
    <w:tmpl w:val="939AF748"/>
    <w:lvl w:ilvl="0" w:tplc="558E8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9"/>
  </w:num>
  <w:num w:numId="5">
    <w:abstractNumId w:val="20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18"/>
  </w:num>
  <w:num w:numId="11">
    <w:abstractNumId w:val="8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3"/>
  </w:num>
  <w:num w:numId="18">
    <w:abstractNumId w:val="7"/>
  </w:num>
  <w:num w:numId="19">
    <w:abstractNumId w:val="16"/>
  </w:num>
  <w:num w:numId="20">
    <w:abstractNumId w:val="15"/>
  </w:num>
  <w:num w:numId="21">
    <w:abstractNumId w:val="5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71E00"/>
    <w:rsid w:val="0017277A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54064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407B"/>
    <w:rsid w:val="00591811"/>
    <w:rsid w:val="00591D52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1CA4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F9A3-44F6-4545-B079-C1405618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2022-09-05T13:48:00Z</dcterms:created>
  <dcterms:modified xsi:type="dcterms:W3CDTF">2022-09-05T13:48:00Z</dcterms:modified>
</cp:coreProperties>
</file>