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23E" w:rsidRDefault="008E6511" w:rsidP="00326847">
      <w:pPr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746B8639" wp14:editId="5C092C05">
            <wp:extent cx="485775" cy="571500"/>
            <wp:effectExtent l="1905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03B0" w:rsidRPr="00EF03B0" w:rsidRDefault="00EF03B0" w:rsidP="00EF03B0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РЕВИЗИОННАЯ КОМИССИЯ ВЫТЕГОРСКОГО МУНИЦИПАЛЬНОГО РАЙОНА</w:t>
      </w:r>
    </w:p>
    <w:p w:rsidR="00EF03B0" w:rsidRPr="00EF03B0" w:rsidRDefault="00EF03B0" w:rsidP="00326847">
      <w:pPr>
        <w:spacing w:before="40" w:line="233" w:lineRule="auto"/>
        <w:jc w:val="center"/>
        <w:rPr>
          <w:rFonts w:ascii="Times New Roman" w:hAnsi="Times New Roman"/>
          <w:b/>
        </w:rPr>
      </w:pPr>
      <w:r w:rsidRPr="00EF03B0">
        <w:rPr>
          <w:rFonts w:ascii="Times New Roman" w:hAnsi="Times New Roman"/>
          <w:b/>
        </w:rPr>
        <w:t>162900, Вологодская область, г. Вытегра, пр. Ленина, д.68</w:t>
      </w:r>
    </w:p>
    <w:p w:rsidR="00EF03B0" w:rsidRPr="00CB1248" w:rsidRDefault="00461F84" w:rsidP="00EF03B0">
      <w:pPr>
        <w:pStyle w:val="a4"/>
        <w:jc w:val="center"/>
      </w:pPr>
      <w:r>
        <w:t>тел. (81746)</w:t>
      </w:r>
      <w:r w:rsidR="006B3954">
        <w:t xml:space="preserve"> </w:t>
      </w:r>
      <w:r>
        <w:t>2-22-03</w:t>
      </w:r>
      <w:r w:rsidR="00EF03B0" w:rsidRPr="00EF03B0">
        <w:t>,</w:t>
      </w:r>
      <w:r w:rsidR="006B3954">
        <w:t xml:space="preserve"> </w:t>
      </w:r>
      <w:r w:rsidR="00EF03B0" w:rsidRPr="00EF03B0">
        <w:t>факс (81746) ______,</w:t>
      </w:r>
      <w:r w:rsidR="006B3954">
        <w:t xml:space="preserve">   </w:t>
      </w:r>
      <w:r w:rsidR="00EF03B0" w:rsidRPr="00EF03B0">
        <w:t xml:space="preserve"> </w:t>
      </w:r>
      <w:r w:rsidR="00EF03B0" w:rsidRPr="00EF03B0">
        <w:rPr>
          <w:lang w:val="en-US"/>
        </w:rPr>
        <w:t>e</w:t>
      </w:r>
      <w:r w:rsidR="00EF03B0" w:rsidRPr="00EF03B0">
        <w:t>-</w:t>
      </w:r>
      <w:r w:rsidR="00EF03B0" w:rsidRPr="00EF03B0">
        <w:rPr>
          <w:lang w:val="en-US"/>
        </w:rPr>
        <w:t>mail</w:t>
      </w:r>
      <w:r>
        <w:t xml:space="preserve">: </w:t>
      </w:r>
      <w:r w:rsidRPr="00461F84">
        <w:rPr>
          <w:u w:val="single"/>
          <w:lang w:val="en-US"/>
        </w:rPr>
        <w:t>revkom</w:t>
      </w:r>
      <w:r w:rsidRPr="00CB1248">
        <w:rPr>
          <w:u w:val="single"/>
        </w:rPr>
        <w:t>@</w:t>
      </w:r>
      <w:r w:rsidRPr="00461F84">
        <w:rPr>
          <w:u w:val="single"/>
          <w:lang w:val="en-US"/>
        </w:rPr>
        <w:t>vytegra</w:t>
      </w:r>
      <w:r w:rsidRPr="00CB1248">
        <w:rPr>
          <w:u w:val="single"/>
        </w:rPr>
        <w:t>-</w:t>
      </w:r>
      <w:r w:rsidRPr="00461F84">
        <w:rPr>
          <w:u w:val="single"/>
          <w:lang w:val="en-US"/>
        </w:rPr>
        <w:t>adm</w:t>
      </w:r>
      <w:r w:rsidRPr="00CB1248">
        <w:rPr>
          <w:u w:val="single"/>
        </w:rPr>
        <w:t>.</w:t>
      </w:r>
      <w:r w:rsidRPr="00461F84">
        <w:rPr>
          <w:u w:val="single"/>
          <w:lang w:val="en-US"/>
        </w:rPr>
        <w:t>ru</w:t>
      </w:r>
    </w:p>
    <w:p w:rsidR="00EF03B0" w:rsidRPr="00EF03B0" w:rsidRDefault="002906C5" w:rsidP="00EF03B0">
      <w:pPr>
        <w:spacing w:before="40" w:line="233" w:lineRule="auto"/>
        <w:jc w:val="center"/>
        <w:rPr>
          <w:rFonts w:ascii="Times New Roman" w:hAnsi="Times New Roman"/>
          <w:b/>
          <w:spacing w:val="50"/>
        </w:rPr>
      </w:pPr>
      <w:r>
        <w:rPr>
          <w:rFonts w:ascii="Times New Roman" w:hAnsi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173355</wp:posOffset>
                </wp:positionV>
                <wp:extent cx="6245860" cy="0"/>
                <wp:effectExtent l="32385" t="34290" r="36830" b="3238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4586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55B093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3.65pt" to="491.8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" strokeweight="4.5pt">
                <v:stroke linestyle="thinThick"/>
              </v:line>
            </w:pict>
          </mc:Fallback>
        </mc:AlternateContent>
      </w:r>
    </w:p>
    <w:p w:rsidR="009F52E0" w:rsidRPr="00267E35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7E35">
        <w:rPr>
          <w:rFonts w:ascii="Times New Roman" w:hAnsi="Times New Roman"/>
          <w:b/>
          <w:sz w:val="28"/>
          <w:szCs w:val="28"/>
        </w:rPr>
        <w:t>ЗАКЛЮЧЕНИЕ</w:t>
      </w:r>
    </w:p>
    <w:p w:rsidR="009F52E0" w:rsidRPr="00267E35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267E35">
        <w:rPr>
          <w:rFonts w:ascii="Times New Roman" w:hAnsi="Times New Roman"/>
          <w:b/>
          <w:sz w:val="28"/>
          <w:szCs w:val="28"/>
        </w:rPr>
        <w:t xml:space="preserve">на </w:t>
      </w:r>
      <w:r w:rsidR="00A52747" w:rsidRPr="00267E35">
        <w:rPr>
          <w:rFonts w:ascii="Times New Roman" w:hAnsi="Times New Roman"/>
          <w:b/>
          <w:sz w:val="28"/>
          <w:szCs w:val="28"/>
        </w:rPr>
        <w:t xml:space="preserve">проект </w:t>
      </w:r>
      <w:r w:rsidRPr="00267E35">
        <w:rPr>
          <w:rFonts w:ascii="Times New Roman" w:hAnsi="Times New Roman"/>
          <w:b/>
          <w:sz w:val="28"/>
          <w:szCs w:val="28"/>
        </w:rPr>
        <w:t>решени</w:t>
      </w:r>
      <w:r w:rsidR="00A52747" w:rsidRPr="00267E35">
        <w:rPr>
          <w:rFonts w:ascii="Times New Roman" w:hAnsi="Times New Roman"/>
          <w:b/>
          <w:sz w:val="28"/>
          <w:szCs w:val="28"/>
        </w:rPr>
        <w:t>я</w:t>
      </w:r>
      <w:r w:rsidRPr="00267E35">
        <w:rPr>
          <w:rFonts w:ascii="Times New Roman" w:hAnsi="Times New Roman"/>
          <w:b/>
          <w:sz w:val="28"/>
          <w:szCs w:val="28"/>
        </w:rPr>
        <w:t xml:space="preserve"> Совета сельского поселения Девятинское</w:t>
      </w:r>
    </w:p>
    <w:p w:rsidR="009F52E0" w:rsidRPr="00267E35" w:rsidRDefault="009F52E0" w:rsidP="009F52E0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9F52E0" w:rsidRPr="00267E35" w:rsidRDefault="005C7E67" w:rsidP="009F5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</w:t>
      </w:r>
      <w:r w:rsidR="00FD446A" w:rsidRPr="00267E35">
        <w:rPr>
          <w:rFonts w:ascii="Times New Roman" w:hAnsi="Times New Roman"/>
          <w:sz w:val="28"/>
          <w:szCs w:val="28"/>
        </w:rPr>
        <w:t>.</w:t>
      </w:r>
      <w:r w:rsidR="00BE61C9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6</w:t>
      </w:r>
      <w:r w:rsidR="007627B5" w:rsidRPr="00267E35">
        <w:rPr>
          <w:rFonts w:ascii="Times New Roman" w:hAnsi="Times New Roman"/>
          <w:sz w:val="28"/>
          <w:szCs w:val="28"/>
        </w:rPr>
        <w:t>.</w:t>
      </w:r>
      <w:r w:rsidR="00461F84" w:rsidRPr="00267E35">
        <w:rPr>
          <w:rFonts w:ascii="Times New Roman" w:hAnsi="Times New Roman"/>
          <w:sz w:val="28"/>
          <w:szCs w:val="28"/>
        </w:rPr>
        <w:t>20</w:t>
      </w:r>
      <w:r w:rsidR="005D6E34" w:rsidRPr="00267E35">
        <w:rPr>
          <w:rFonts w:ascii="Times New Roman" w:hAnsi="Times New Roman"/>
          <w:sz w:val="28"/>
          <w:szCs w:val="28"/>
        </w:rPr>
        <w:t>2</w:t>
      </w:r>
      <w:r w:rsidR="00BE61C9">
        <w:rPr>
          <w:rFonts w:ascii="Times New Roman" w:hAnsi="Times New Roman"/>
          <w:sz w:val="28"/>
          <w:szCs w:val="28"/>
        </w:rPr>
        <w:t>1</w:t>
      </w:r>
      <w:r w:rsidR="009F52E0" w:rsidRPr="00267E35">
        <w:rPr>
          <w:rFonts w:ascii="Times New Roman" w:hAnsi="Times New Roman"/>
          <w:sz w:val="28"/>
          <w:szCs w:val="28"/>
        </w:rPr>
        <w:t xml:space="preserve"> г.</w:t>
      </w:r>
      <w:r w:rsidR="006B3954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6079AA">
        <w:rPr>
          <w:rFonts w:ascii="Times New Roman" w:hAnsi="Times New Roman"/>
          <w:sz w:val="28"/>
          <w:szCs w:val="28"/>
        </w:rPr>
        <w:t xml:space="preserve">                                    </w:t>
      </w:r>
      <w:r w:rsidR="006B3954">
        <w:rPr>
          <w:rFonts w:ascii="Times New Roman" w:hAnsi="Times New Roman"/>
          <w:sz w:val="28"/>
          <w:szCs w:val="28"/>
        </w:rPr>
        <w:t xml:space="preserve">     </w:t>
      </w:r>
      <w:r w:rsidR="009F52E0" w:rsidRPr="00267E35">
        <w:rPr>
          <w:rFonts w:ascii="Times New Roman" w:hAnsi="Times New Roman"/>
          <w:sz w:val="28"/>
          <w:szCs w:val="28"/>
        </w:rPr>
        <w:t xml:space="preserve"> г. Вытегра</w:t>
      </w:r>
    </w:p>
    <w:p w:rsidR="009F52E0" w:rsidRPr="00267E35" w:rsidRDefault="009F52E0" w:rsidP="009F52E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7780A" w:rsidRPr="00267E35" w:rsidRDefault="006B3954" w:rsidP="006B3954">
      <w:pPr>
        <w:tabs>
          <w:tab w:val="left" w:pos="567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="00BC5034" w:rsidRPr="00267E35">
        <w:rPr>
          <w:rFonts w:ascii="Times New Roman" w:hAnsi="Times New Roman"/>
          <w:sz w:val="28"/>
          <w:szCs w:val="28"/>
        </w:rPr>
        <w:t xml:space="preserve"> </w:t>
      </w:r>
      <w:r w:rsidR="006079AA">
        <w:rPr>
          <w:rFonts w:ascii="Times New Roman" w:hAnsi="Times New Roman"/>
          <w:sz w:val="28"/>
          <w:szCs w:val="28"/>
        </w:rPr>
        <w:t xml:space="preserve">   </w:t>
      </w:r>
      <w:r w:rsidR="009F52E0" w:rsidRPr="00267E35">
        <w:rPr>
          <w:rFonts w:ascii="Times New Roman" w:hAnsi="Times New Roman"/>
          <w:sz w:val="28"/>
          <w:szCs w:val="28"/>
        </w:rPr>
        <w:t xml:space="preserve">Заключение Ревизионной комиссии Вытегорского </w:t>
      </w:r>
      <w:r w:rsidR="001409D4" w:rsidRPr="00267E35">
        <w:rPr>
          <w:rFonts w:ascii="Times New Roman" w:hAnsi="Times New Roman"/>
          <w:sz w:val="28"/>
          <w:szCs w:val="28"/>
        </w:rPr>
        <w:t>муниципального района на</w:t>
      </w:r>
      <w:r w:rsidR="00461F84" w:rsidRPr="00267E35">
        <w:rPr>
          <w:rFonts w:ascii="Times New Roman" w:hAnsi="Times New Roman"/>
          <w:sz w:val="28"/>
          <w:szCs w:val="28"/>
        </w:rPr>
        <w:t xml:space="preserve"> </w:t>
      </w:r>
      <w:r w:rsidR="00A52747" w:rsidRPr="00267E35">
        <w:rPr>
          <w:rFonts w:ascii="Times New Roman" w:hAnsi="Times New Roman"/>
          <w:sz w:val="28"/>
          <w:szCs w:val="28"/>
        </w:rPr>
        <w:t>проект</w:t>
      </w:r>
      <w:r w:rsidR="00F9751D" w:rsidRPr="00267E35">
        <w:rPr>
          <w:rFonts w:ascii="Times New Roman" w:hAnsi="Times New Roman"/>
          <w:sz w:val="28"/>
          <w:szCs w:val="28"/>
        </w:rPr>
        <w:t xml:space="preserve"> </w:t>
      </w:r>
      <w:r w:rsidR="00461F84" w:rsidRPr="00267E35">
        <w:rPr>
          <w:rFonts w:ascii="Times New Roman" w:hAnsi="Times New Roman"/>
          <w:sz w:val="28"/>
          <w:szCs w:val="28"/>
        </w:rPr>
        <w:t>решени</w:t>
      </w:r>
      <w:r w:rsidR="00A52747" w:rsidRPr="00267E35">
        <w:rPr>
          <w:rFonts w:ascii="Times New Roman" w:hAnsi="Times New Roman"/>
          <w:sz w:val="28"/>
          <w:szCs w:val="28"/>
        </w:rPr>
        <w:t>я</w:t>
      </w:r>
      <w:r w:rsidR="009F52E0" w:rsidRPr="00267E35">
        <w:rPr>
          <w:rFonts w:ascii="Times New Roman" w:hAnsi="Times New Roman"/>
          <w:sz w:val="28"/>
          <w:szCs w:val="28"/>
        </w:rPr>
        <w:t xml:space="preserve"> Совета сельского поселения Девятинское </w:t>
      </w:r>
      <w:bookmarkStart w:id="0" w:name="_GoBack"/>
      <w:r w:rsidR="009F52E0" w:rsidRPr="00267E35">
        <w:rPr>
          <w:rFonts w:ascii="Times New Roman" w:hAnsi="Times New Roman"/>
          <w:sz w:val="28"/>
          <w:szCs w:val="28"/>
        </w:rPr>
        <w:t>«О внесении изменений в решение Совета сельс</w:t>
      </w:r>
      <w:r w:rsidR="00461F84" w:rsidRPr="00267E35">
        <w:rPr>
          <w:rFonts w:ascii="Times New Roman" w:hAnsi="Times New Roman"/>
          <w:sz w:val="28"/>
          <w:szCs w:val="28"/>
        </w:rPr>
        <w:t>кого поселения Девятинское</w:t>
      </w:r>
      <w:r w:rsidR="00433A80" w:rsidRPr="00267E35">
        <w:rPr>
          <w:rFonts w:ascii="Times New Roman" w:hAnsi="Times New Roman"/>
          <w:sz w:val="28"/>
          <w:szCs w:val="28"/>
        </w:rPr>
        <w:t xml:space="preserve"> от </w:t>
      </w:r>
      <w:r w:rsidR="00373A42" w:rsidRPr="00267E35">
        <w:rPr>
          <w:rFonts w:ascii="Times New Roman" w:hAnsi="Times New Roman"/>
          <w:sz w:val="28"/>
          <w:szCs w:val="28"/>
        </w:rPr>
        <w:t>1</w:t>
      </w:r>
      <w:r w:rsidR="00BE61C9">
        <w:rPr>
          <w:rFonts w:ascii="Times New Roman" w:hAnsi="Times New Roman"/>
          <w:sz w:val="28"/>
          <w:szCs w:val="28"/>
        </w:rPr>
        <w:t>8</w:t>
      </w:r>
      <w:r w:rsidR="00433A80" w:rsidRPr="00267E35">
        <w:rPr>
          <w:rFonts w:ascii="Times New Roman" w:hAnsi="Times New Roman"/>
          <w:sz w:val="28"/>
          <w:szCs w:val="28"/>
        </w:rPr>
        <w:t>.12.20</w:t>
      </w:r>
      <w:r w:rsidR="00BE61C9">
        <w:rPr>
          <w:rFonts w:ascii="Times New Roman" w:hAnsi="Times New Roman"/>
          <w:sz w:val="28"/>
          <w:szCs w:val="28"/>
        </w:rPr>
        <w:t>20</w:t>
      </w:r>
      <w:r w:rsidR="00336548" w:rsidRPr="00267E35">
        <w:rPr>
          <w:rFonts w:ascii="Times New Roman" w:hAnsi="Times New Roman"/>
          <w:sz w:val="28"/>
          <w:szCs w:val="28"/>
        </w:rPr>
        <w:t xml:space="preserve"> </w:t>
      </w:r>
      <w:r w:rsidR="00956931" w:rsidRPr="00267E35">
        <w:rPr>
          <w:rFonts w:ascii="Times New Roman" w:hAnsi="Times New Roman"/>
          <w:sz w:val="28"/>
          <w:szCs w:val="28"/>
        </w:rPr>
        <w:t xml:space="preserve">№ </w:t>
      </w:r>
      <w:r w:rsidR="00BE61C9">
        <w:rPr>
          <w:rFonts w:ascii="Times New Roman" w:hAnsi="Times New Roman"/>
          <w:sz w:val="28"/>
          <w:szCs w:val="28"/>
        </w:rPr>
        <w:t>49</w:t>
      </w:r>
      <w:r w:rsidR="00336548" w:rsidRPr="00267E35">
        <w:rPr>
          <w:rFonts w:ascii="Times New Roman" w:hAnsi="Times New Roman"/>
          <w:sz w:val="28"/>
          <w:szCs w:val="28"/>
        </w:rPr>
        <w:t>»</w:t>
      </w:r>
      <w:bookmarkEnd w:id="0"/>
      <w:r w:rsidR="00336548" w:rsidRPr="00267E35">
        <w:rPr>
          <w:rFonts w:ascii="Times New Roman" w:hAnsi="Times New Roman"/>
          <w:sz w:val="28"/>
          <w:szCs w:val="28"/>
        </w:rPr>
        <w:t xml:space="preserve"> подго</w:t>
      </w:r>
      <w:r w:rsidR="009F52E0" w:rsidRPr="00267E35">
        <w:rPr>
          <w:rFonts w:ascii="Times New Roman" w:hAnsi="Times New Roman"/>
          <w:sz w:val="28"/>
          <w:szCs w:val="28"/>
        </w:rPr>
        <w:t>товлено в соответствии с требованиями Бюджетного кодекса Российской Федерации, Положения о Ревизионной комиссии Вытегорского муниципального района, на основании заключённого соглашения между Советом сельского поселения Девятинское и Представительным Собранием Выт</w:t>
      </w:r>
      <w:r w:rsidR="00D178BF" w:rsidRPr="00267E35">
        <w:rPr>
          <w:rFonts w:ascii="Times New Roman" w:hAnsi="Times New Roman"/>
          <w:sz w:val="28"/>
          <w:szCs w:val="28"/>
        </w:rPr>
        <w:t>егорского муниципального района на 202</w:t>
      </w:r>
      <w:r w:rsidR="00BE61C9">
        <w:rPr>
          <w:rFonts w:ascii="Times New Roman" w:hAnsi="Times New Roman"/>
          <w:sz w:val="28"/>
          <w:szCs w:val="28"/>
        </w:rPr>
        <w:t>1</w:t>
      </w:r>
      <w:r w:rsidR="00D178BF" w:rsidRPr="00267E35">
        <w:rPr>
          <w:rFonts w:ascii="Times New Roman" w:hAnsi="Times New Roman"/>
          <w:sz w:val="28"/>
          <w:szCs w:val="28"/>
        </w:rPr>
        <w:t xml:space="preserve"> год. </w:t>
      </w:r>
    </w:p>
    <w:p w:rsidR="0048782F" w:rsidRDefault="006B3954" w:rsidP="00FF3295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664EA5" w:rsidRPr="00CB7A19" w:rsidRDefault="003D7CDB" w:rsidP="00664EA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664EA5" w:rsidRPr="00CB7A19">
        <w:rPr>
          <w:rFonts w:ascii="Times New Roman" w:hAnsi="Times New Roman"/>
          <w:sz w:val="28"/>
          <w:szCs w:val="28"/>
        </w:rPr>
        <w:t xml:space="preserve">Проектом решения предлагается внести изменения в доходную и расходную части бюджета поселения на 2021 год. Изменения связаны с уточнением </w:t>
      </w:r>
      <w:r w:rsidR="00664EA5">
        <w:rPr>
          <w:rFonts w:ascii="Times New Roman" w:hAnsi="Times New Roman"/>
          <w:sz w:val="28"/>
          <w:szCs w:val="28"/>
        </w:rPr>
        <w:t>доходной части бюджета,</w:t>
      </w:r>
      <w:r w:rsidR="00664EA5" w:rsidRPr="00CB7A19">
        <w:rPr>
          <w:rFonts w:ascii="Times New Roman" w:hAnsi="Times New Roman"/>
          <w:sz w:val="28"/>
          <w:szCs w:val="28"/>
        </w:rPr>
        <w:t xml:space="preserve"> дефицита бюджета</w:t>
      </w:r>
      <w:r w:rsidR="00695E97">
        <w:rPr>
          <w:rFonts w:ascii="Times New Roman" w:hAnsi="Times New Roman"/>
          <w:sz w:val="28"/>
          <w:szCs w:val="28"/>
        </w:rPr>
        <w:t>.</w:t>
      </w:r>
      <w:r w:rsidR="00664EA5" w:rsidRPr="00CB7A19">
        <w:rPr>
          <w:rFonts w:ascii="Times New Roman" w:hAnsi="Times New Roman"/>
          <w:sz w:val="28"/>
          <w:szCs w:val="28"/>
        </w:rPr>
        <w:t xml:space="preserve"> Внесение изменений является обоснованным и соответствующим требованиям Бюджетного кодекса Российской Федерации.  </w:t>
      </w:r>
    </w:p>
    <w:p w:rsidR="00442128" w:rsidRPr="00A87630" w:rsidRDefault="00442128" w:rsidP="00442128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CA2623" w:rsidRPr="00695E97" w:rsidRDefault="006B3954" w:rsidP="00CA26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5E97">
        <w:rPr>
          <w:sz w:val="28"/>
          <w:szCs w:val="28"/>
        </w:rPr>
        <w:t xml:space="preserve">     </w:t>
      </w:r>
      <w:r w:rsidR="006079AA" w:rsidRPr="00695E97">
        <w:rPr>
          <w:sz w:val="28"/>
          <w:szCs w:val="28"/>
        </w:rPr>
        <w:t xml:space="preserve"> </w:t>
      </w:r>
      <w:r w:rsidR="00CA2623" w:rsidRPr="00695E97">
        <w:rPr>
          <w:rFonts w:ascii="Times New Roman" w:hAnsi="Times New Roman"/>
          <w:sz w:val="28"/>
          <w:szCs w:val="28"/>
        </w:rPr>
        <w:t xml:space="preserve"> Проектом решения предлагается утвердить на </w:t>
      </w:r>
      <w:r w:rsidR="00D16179" w:rsidRPr="00695E97">
        <w:rPr>
          <w:rFonts w:ascii="Times New Roman" w:hAnsi="Times New Roman"/>
          <w:sz w:val="28"/>
          <w:szCs w:val="28"/>
        </w:rPr>
        <w:t>202</w:t>
      </w:r>
      <w:r w:rsidR="00442128" w:rsidRPr="00695E97">
        <w:rPr>
          <w:rFonts w:ascii="Times New Roman" w:hAnsi="Times New Roman"/>
          <w:sz w:val="28"/>
          <w:szCs w:val="28"/>
        </w:rPr>
        <w:t>1</w:t>
      </w:r>
      <w:r w:rsidR="00CA2623" w:rsidRPr="00695E97">
        <w:rPr>
          <w:rFonts w:ascii="Times New Roman" w:hAnsi="Times New Roman"/>
          <w:sz w:val="28"/>
          <w:szCs w:val="28"/>
        </w:rPr>
        <w:t xml:space="preserve"> год:</w:t>
      </w:r>
    </w:p>
    <w:p w:rsidR="00442128" w:rsidRPr="00695E97" w:rsidRDefault="00442128" w:rsidP="004421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5E97">
        <w:rPr>
          <w:rFonts w:ascii="Times New Roman" w:hAnsi="Times New Roman"/>
          <w:sz w:val="28"/>
          <w:szCs w:val="28"/>
        </w:rPr>
        <w:t xml:space="preserve">- общий объем доходов в сумме </w:t>
      </w:r>
      <w:r w:rsidR="00695E97" w:rsidRPr="00695E97">
        <w:rPr>
          <w:rFonts w:ascii="Times New Roman" w:hAnsi="Times New Roman"/>
          <w:sz w:val="28"/>
          <w:szCs w:val="28"/>
        </w:rPr>
        <w:t>19332,9</w:t>
      </w:r>
      <w:r w:rsidRPr="00695E97">
        <w:rPr>
          <w:rFonts w:ascii="Times New Roman" w:hAnsi="Times New Roman"/>
          <w:sz w:val="28"/>
          <w:szCs w:val="28"/>
        </w:rPr>
        <w:t xml:space="preserve"> тыс. рублей;</w:t>
      </w:r>
    </w:p>
    <w:p w:rsidR="00CA2623" w:rsidRPr="00695E97" w:rsidRDefault="00CA2623" w:rsidP="00CA26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5E97">
        <w:rPr>
          <w:rFonts w:ascii="Times New Roman" w:hAnsi="Times New Roman"/>
          <w:sz w:val="28"/>
          <w:szCs w:val="28"/>
        </w:rPr>
        <w:t xml:space="preserve">- </w:t>
      </w:r>
      <w:r w:rsidR="00D178BF" w:rsidRPr="00695E97">
        <w:rPr>
          <w:rFonts w:ascii="Times New Roman" w:hAnsi="Times New Roman"/>
          <w:sz w:val="28"/>
          <w:szCs w:val="28"/>
        </w:rPr>
        <w:t xml:space="preserve">общий </w:t>
      </w:r>
      <w:r w:rsidRPr="00695E97">
        <w:rPr>
          <w:rFonts w:ascii="Times New Roman" w:hAnsi="Times New Roman"/>
          <w:sz w:val="28"/>
          <w:szCs w:val="28"/>
        </w:rPr>
        <w:t xml:space="preserve">объем расходов </w:t>
      </w:r>
      <w:r w:rsidR="00D178BF" w:rsidRPr="00695E97">
        <w:rPr>
          <w:rFonts w:ascii="Times New Roman" w:hAnsi="Times New Roman"/>
          <w:sz w:val="28"/>
          <w:szCs w:val="28"/>
        </w:rPr>
        <w:t>в</w:t>
      </w:r>
      <w:r w:rsidRPr="00695E97">
        <w:rPr>
          <w:rFonts w:ascii="Times New Roman" w:hAnsi="Times New Roman"/>
          <w:sz w:val="28"/>
          <w:szCs w:val="28"/>
        </w:rPr>
        <w:t xml:space="preserve"> сумме </w:t>
      </w:r>
      <w:r w:rsidR="00695E97" w:rsidRPr="00695E97">
        <w:rPr>
          <w:rFonts w:ascii="Times New Roman" w:hAnsi="Times New Roman"/>
          <w:sz w:val="28"/>
          <w:szCs w:val="28"/>
        </w:rPr>
        <w:t>21416,1</w:t>
      </w:r>
      <w:r w:rsidR="00D315F3" w:rsidRPr="00695E97">
        <w:rPr>
          <w:rFonts w:ascii="Times New Roman" w:hAnsi="Times New Roman"/>
          <w:sz w:val="28"/>
          <w:szCs w:val="28"/>
        </w:rPr>
        <w:t xml:space="preserve"> </w:t>
      </w:r>
      <w:r w:rsidR="00745FAC" w:rsidRPr="00695E97">
        <w:rPr>
          <w:rFonts w:ascii="Times New Roman" w:hAnsi="Times New Roman"/>
          <w:sz w:val="28"/>
          <w:szCs w:val="28"/>
        </w:rPr>
        <w:t>тыс. рублей</w:t>
      </w:r>
      <w:r w:rsidR="00D16179" w:rsidRPr="00695E97">
        <w:rPr>
          <w:rFonts w:ascii="Times New Roman" w:hAnsi="Times New Roman"/>
          <w:sz w:val="28"/>
          <w:szCs w:val="28"/>
        </w:rPr>
        <w:t>;</w:t>
      </w:r>
    </w:p>
    <w:p w:rsidR="008F616A" w:rsidRDefault="00442128" w:rsidP="00D75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95E97">
        <w:rPr>
          <w:rFonts w:ascii="Times New Roman" w:hAnsi="Times New Roman"/>
          <w:sz w:val="28"/>
          <w:szCs w:val="28"/>
        </w:rPr>
        <w:t>- д</w:t>
      </w:r>
      <w:r w:rsidR="00D16179" w:rsidRPr="00695E97">
        <w:rPr>
          <w:rFonts w:ascii="Times New Roman" w:hAnsi="Times New Roman"/>
          <w:sz w:val="28"/>
          <w:szCs w:val="28"/>
        </w:rPr>
        <w:t xml:space="preserve">ефицит бюджета </w:t>
      </w:r>
      <w:r w:rsidR="00D178BF" w:rsidRPr="00695E97">
        <w:rPr>
          <w:rFonts w:ascii="Times New Roman" w:hAnsi="Times New Roman"/>
          <w:sz w:val="28"/>
          <w:szCs w:val="28"/>
        </w:rPr>
        <w:t xml:space="preserve">поселения </w:t>
      </w:r>
      <w:r w:rsidRPr="00695E97">
        <w:rPr>
          <w:rFonts w:ascii="Times New Roman" w:hAnsi="Times New Roman"/>
          <w:sz w:val="28"/>
          <w:szCs w:val="28"/>
        </w:rPr>
        <w:t xml:space="preserve">– </w:t>
      </w:r>
      <w:r w:rsidR="00695E97" w:rsidRPr="00695E97">
        <w:rPr>
          <w:rFonts w:ascii="Times New Roman" w:hAnsi="Times New Roman"/>
          <w:sz w:val="28"/>
          <w:szCs w:val="28"/>
        </w:rPr>
        <w:t xml:space="preserve">2083,2 </w:t>
      </w:r>
      <w:r w:rsidR="00D16179" w:rsidRPr="00695E97">
        <w:rPr>
          <w:rFonts w:ascii="Times New Roman" w:hAnsi="Times New Roman"/>
          <w:sz w:val="28"/>
          <w:szCs w:val="28"/>
        </w:rPr>
        <w:t>тыс. рублей</w:t>
      </w:r>
      <w:r w:rsidR="00D315F3" w:rsidRPr="00695E97">
        <w:rPr>
          <w:rFonts w:ascii="Times New Roman" w:hAnsi="Times New Roman"/>
          <w:sz w:val="28"/>
          <w:szCs w:val="28"/>
        </w:rPr>
        <w:t>.</w:t>
      </w:r>
      <w:r w:rsidR="00D315F3">
        <w:rPr>
          <w:rFonts w:ascii="Times New Roman" w:hAnsi="Times New Roman"/>
          <w:sz w:val="28"/>
          <w:szCs w:val="28"/>
        </w:rPr>
        <w:t xml:space="preserve"> </w:t>
      </w:r>
    </w:p>
    <w:p w:rsidR="008E6511" w:rsidRDefault="008E6511" w:rsidP="00D75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11"/>
        <w:tblW w:w="9396" w:type="dxa"/>
        <w:tblLayout w:type="fixed"/>
        <w:tblLook w:val="04A0" w:firstRow="1" w:lastRow="0" w:firstColumn="1" w:lastColumn="0" w:noHBand="0" w:noVBand="1"/>
      </w:tblPr>
      <w:tblGrid>
        <w:gridCol w:w="3256"/>
        <w:gridCol w:w="1559"/>
        <w:gridCol w:w="1559"/>
        <w:gridCol w:w="992"/>
        <w:gridCol w:w="851"/>
        <w:gridCol w:w="1179"/>
      </w:tblGrid>
      <w:tr w:rsidR="005C7E67" w:rsidRPr="00906EA9" w:rsidTr="00F94E03">
        <w:trPr>
          <w:trHeight w:val="1090"/>
        </w:trPr>
        <w:tc>
          <w:tcPr>
            <w:tcW w:w="3256" w:type="dxa"/>
          </w:tcPr>
          <w:p w:rsidR="005C7E67" w:rsidRPr="00906EA9" w:rsidRDefault="005C7E67" w:rsidP="00F94E0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5C7E67" w:rsidRPr="00906EA9" w:rsidRDefault="005C7E67" w:rsidP="00F94E0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5C7E67" w:rsidRPr="00906EA9" w:rsidRDefault="005C7E67" w:rsidP="005C7E67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6EA9">
              <w:rPr>
                <w:rFonts w:ascii="Times New Roman" w:hAnsi="Times New Roman"/>
                <w:sz w:val="20"/>
                <w:szCs w:val="20"/>
              </w:rPr>
              <w:t>Утверждено решением о бюджете от 1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906EA9">
              <w:rPr>
                <w:rFonts w:ascii="Times New Roman" w:hAnsi="Times New Roman"/>
                <w:sz w:val="20"/>
                <w:szCs w:val="20"/>
              </w:rPr>
              <w:t>.12.20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906EA9">
              <w:rPr>
                <w:rFonts w:ascii="Times New Roman" w:hAnsi="Times New Roman"/>
                <w:sz w:val="20"/>
                <w:szCs w:val="20"/>
              </w:rPr>
              <w:t xml:space="preserve"> г. № </w:t>
            </w:r>
            <w:r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559" w:type="dxa"/>
            <w:tcBorders>
              <w:bottom w:val="single" w:sz="4" w:space="0" w:color="000000" w:themeColor="text1"/>
            </w:tcBorders>
          </w:tcPr>
          <w:p w:rsidR="005C7E67" w:rsidRPr="00906EA9" w:rsidRDefault="005C7E67" w:rsidP="00F94E0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6EA9">
              <w:rPr>
                <w:rFonts w:ascii="Times New Roman" w:hAnsi="Times New Roman"/>
                <w:sz w:val="20"/>
                <w:szCs w:val="20"/>
              </w:rPr>
              <w:t xml:space="preserve">Предлагаемые проектом решения изменения </w:t>
            </w:r>
          </w:p>
        </w:tc>
        <w:tc>
          <w:tcPr>
            <w:tcW w:w="992" w:type="dxa"/>
            <w:tcBorders>
              <w:bottom w:val="single" w:sz="4" w:space="0" w:color="000000" w:themeColor="text1"/>
            </w:tcBorders>
          </w:tcPr>
          <w:p w:rsidR="005C7E67" w:rsidRPr="00906EA9" w:rsidRDefault="005C7E67" w:rsidP="00F94E0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6EA9">
              <w:rPr>
                <w:rFonts w:ascii="Times New Roman" w:hAnsi="Times New Roman"/>
                <w:sz w:val="20"/>
                <w:szCs w:val="20"/>
              </w:rPr>
              <w:t>Изменение</w:t>
            </w:r>
          </w:p>
        </w:tc>
        <w:tc>
          <w:tcPr>
            <w:tcW w:w="851" w:type="dxa"/>
            <w:tcBorders>
              <w:bottom w:val="single" w:sz="4" w:space="0" w:color="000000" w:themeColor="text1"/>
            </w:tcBorders>
          </w:tcPr>
          <w:p w:rsidR="005C7E67" w:rsidRPr="00906EA9" w:rsidRDefault="005C7E67" w:rsidP="00F94E0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6EA9">
              <w:rPr>
                <w:rFonts w:ascii="Times New Roman" w:hAnsi="Times New Roman"/>
                <w:sz w:val="20"/>
                <w:szCs w:val="20"/>
              </w:rPr>
              <w:t>% изменения, %</w:t>
            </w:r>
          </w:p>
        </w:tc>
        <w:tc>
          <w:tcPr>
            <w:tcW w:w="1179" w:type="dxa"/>
            <w:tcBorders>
              <w:bottom w:val="single" w:sz="4" w:space="0" w:color="000000" w:themeColor="text1"/>
            </w:tcBorders>
          </w:tcPr>
          <w:p w:rsidR="005C7E67" w:rsidRPr="00906EA9" w:rsidRDefault="005C7E67" w:rsidP="00F94E03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906EA9">
              <w:rPr>
                <w:rFonts w:ascii="Times New Roman" w:hAnsi="Times New Roman"/>
                <w:sz w:val="20"/>
                <w:szCs w:val="20"/>
              </w:rPr>
              <w:t>Доля в общих доходах после уточнения (%)</w:t>
            </w:r>
          </w:p>
        </w:tc>
      </w:tr>
      <w:tr w:rsidR="005C7E67" w:rsidRPr="00906EA9" w:rsidTr="004F1733">
        <w:trPr>
          <w:trHeight w:val="222"/>
        </w:trPr>
        <w:tc>
          <w:tcPr>
            <w:tcW w:w="3256" w:type="dxa"/>
            <w:tcBorders>
              <w:bottom w:val="single" w:sz="4" w:space="0" w:color="auto"/>
            </w:tcBorders>
          </w:tcPr>
          <w:p w:rsidR="005C7E67" w:rsidRPr="00906EA9" w:rsidRDefault="005C7E67" w:rsidP="005C7E6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06EA9">
              <w:rPr>
                <w:rFonts w:ascii="Times New Roman" w:hAnsi="Times New Roman"/>
                <w:b/>
                <w:sz w:val="20"/>
                <w:szCs w:val="20"/>
              </w:rPr>
              <w:t>Доходы всего (тыс. руб.)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E67" w:rsidRPr="005C7E67" w:rsidRDefault="005C7E67" w:rsidP="005C7E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7E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16318,9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E67" w:rsidRPr="005C7E67" w:rsidRDefault="005C7E67" w:rsidP="005C7E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7E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19332,9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E67" w:rsidRPr="005C7E67" w:rsidRDefault="005C7E67" w:rsidP="005C7E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7E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3014,0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E67" w:rsidRPr="005C7E67" w:rsidRDefault="005C7E67" w:rsidP="005C7E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7E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18,5%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E67" w:rsidRPr="005C7E67" w:rsidRDefault="005C7E67" w:rsidP="005C7E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7E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100,0%</w:t>
            </w:r>
          </w:p>
        </w:tc>
      </w:tr>
      <w:tr w:rsidR="005C7E67" w:rsidRPr="00906EA9" w:rsidTr="004F1733">
        <w:trPr>
          <w:trHeight w:val="270"/>
        </w:trPr>
        <w:tc>
          <w:tcPr>
            <w:tcW w:w="3256" w:type="dxa"/>
            <w:tcBorders>
              <w:top w:val="single" w:sz="4" w:space="0" w:color="auto"/>
              <w:right w:val="single" w:sz="4" w:space="0" w:color="auto"/>
            </w:tcBorders>
          </w:tcPr>
          <w:p w:rsidR="005C7E67" w:rsidRPr="00906EA9" w:rsidRDefault="005C7E67" w:rsidP="005C7E67">
            <w:pPr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  <w:r w:rsidRPr="00906EA9">
              <w:rPr>
                <w:rFonts w:ascii="Times New Roman" w:hAnsi="Times New Roman"/>
                <w:b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E67" w:rsidRPr="005C7E67" w:rsidRDefault="005C7E67" w:rsidP="005C7E6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C7E6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7448,0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E67" w:rsidRPr="005C7E67" w:rsidRDefault="005C7E67" w:rsidP="005C7E6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C7E6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7603,0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E67" w:rsidRPr="005C7E67" w:rsidRDefault="005C7E67" w:rsidP="005C7E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7E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155,0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E67" w:rsidRPr="005C7E67" w:rsidRDefault="005C7E67" w:rsidP="005C7E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7E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2,1%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E67" w:rsidRPr="005C7E67" w:rsidRDefault="005C7E67" w:rsidP="005C7E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7E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39,3%</w:t>
            </w:r>
          </w:p>
        </w:tc>
      </w:tr>
      <w:tr w:rsidR="005C7E67" w:rsidRPr="00906EA9" w:rsidTr="004F1733">
        <w:trPr>
          <w:trHeight w:val="194"/>
        </w:trPr>
        <w:tc>
          <w:tcPr>
            <w:tcW w:w="3256" w:type="dxa"/>
          </w:tcPr>
          <w:p w:rsidR="005C7E67" w:rsidRPr="00906EA9" w:rsidRDefault="005C7E67" w:rsidP="005C7E67">
            <w:pPr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 w:rsidRPr="00906EA9">
              <w:rPr>
                <w:rFonts w:ascii="Times New Roman" w:hAnsi="Times New Roman"/>
                <w:b/>
                <w:sz w:val="20"/>
                <w:szCs w:val="20"/>
              </w:rPr>
              <w:t>Безвозмездные поступления</w:t>
            </w:r>
            <w:r w:rsidRPr="00906EA9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Pr="00906EA9">
              <w:rPr>
                <w:rFonts w:ascii="Times New Roman" w:hAnsi="Times New Roman"/>
                <w:i/>
                <w:sz w:val="20"/>
                <w:szCs w:val="20"/>
              </w:rPr>
              <w:t>в том числе: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7E67" w:rsidRPr="005C7E67" w:rsidRDefault="005C7E67" w:rsidP="005C7E6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C7E6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8870,9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7E67" w:rsidRPr="005C7E67" w:rsidRDefault="005C7E67" w:rsidP="005C7E67">
            <w:pPr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5C7E6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11729,9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E67" w:rsidRPr="005C7E67" w:rsidRDefault="005C7E67" w:rsidP="005C7E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7E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2859,0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E67" w:rsidRPr="005C7E67" w:rsidRDefault="005C7E67" w:rsidP="005C7E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7E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32,2%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E67" w:rsidRPr="005C7E67" w:rsidRDefault="005C7E67" w:rsidP="005C7E6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C7E6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60,7%</w:t>
            </w:r>
          </w:p>
        </w:tc>
      </w:tr>
      <w:tr w:rsidR="005C7E67" w:rsidRPr="00906EA9" w:rsidTr="00F94E03">
        <w:trPr>
          <w:trHeight w:val="194"/>
        </w:trPr>
        <w:tc>
          <w:tcPr>
            <w:tcW w:w="325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7E67" w:rsidRPr="00906EA9" w:rsidRDefault="005C7E67" w:rsidP="005C7E6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06EA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 xml:space="preserve">Дотации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E67" w:rsidRPr="005C7E67" w:rsidRDefault="005C7E67" w:rsidP="005C7E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C7E6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5402,2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E67" w:rsidRPr="005C7E67" w:rsidRDefault="005C7E67" w:rsidP="005C7E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C7E6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5402,2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E67" w:rsidRPr="005C7E67" w:rsidRDefault="005C7E67" w:rsidP="005C7E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C7E6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E67" w:rsidRPr="005C7E67" w:rsidRDefault="005C7E67" w:rsidP="005C7E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C7E6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E67" w:rsidRPr="005C7E67" w:rsidRDefault="005C7E67" w:rsidP="005C7E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C7E6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27,9%</w:t>
            </w:r>
          </w:p>
        </w:tc>
      </w:tr>
      <w:tr w:rsidR="005C7E67" w:rsidRPr="00906EA9" w:rsidTr="00F94E03">
        <w:trPr>
          <w:trHeight w:val="194"/>
        </w:trPr>
        <w:tc>
          <w:tcPr>
            <w:tcW w:w="32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7E67" w:rsidRPr="00906EA9" w:rsidRDefault="005C7E67" w:rsidP="005C7E6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06EA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Субсидии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E67" w:rsidRPr="005C7E67" w:rsidRDefault="005C7E67" w:rsidP="005C7E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C7E6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3057,8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E67" w:rsidRPr="005C7E67" w:rsidRDefault="005C7E67" w:rsidP="005C7E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C7E6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4705,8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E67" w:rsidRPr="005C7E67" w:rsidRDefault="005C7E67" w:rsidP="005C7E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C7E6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1648,0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E67" w:rsidRPr="005C7E67" w:rsidRDefault="005C7E67" w:rsidP="005C7E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C7E6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53,9%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E67" w:rsidRPr="005C7E67" w:rsidRDefault="005C7E67" w:rsidP="005C7E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C7E6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24,3%</w:t>
            </w:r>
          </w:p>
        </w:tc>
      </w:tr>
      <w:tr w:rsidR="005C7E67" w:rsidRPr="00906EA9" w:rsidTr="00695E97">
        <w:trPr>
          <w:trHeight w:val="194"/>
        </w:trPr>
        <w:tc>
          <w:tcPr>
            <w:tcW w:w="325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7E67" w:rsidRPr="00906EA9" w:rsidRDefault="005C7E67" w:rsidP="005C7E6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06EA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Субвенции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7E67" w:rsidRPr="005C7E67" w:rsidRDefault="005C7E67" w:rsidP="005C7E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C7E6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263,2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7E67" w:rsidRPr="005C7E67" w:rsidRDefault="005C7E67" w:rsidP="005C7E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C7E6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263,2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7E67" w:rsidRPr="005C7E67" w:rsidRDefault="005C7E67" w:rsidP="005C7E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C7E6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7E67" w:rsidRPr="005C7E67" w:rsidRDefault="005C7E67" w:rsidP="005C7E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C7E6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7E67" w:rsidRPr="005C7E67" w:rsidRDefault="005C7E67" w:rsidP="005C7E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C7E6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1,4%</w:t>
            </w:r>
          </w:p>
        </w:tc>
      </w:tr>
      <w:tr w:rsidR="005C7E67" w:rsidRPr="00906EA9" w:rsidTr="00695E97">
        <w:trPr>
          <w:trHeight w:val="194"/>
        </w:trPr>
        <w:tc>
          <w:tcPr>
            <w:tcW w:w="3256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E67" w:rsidRPr="00906EA9" w:rsidRDefault="005C7E67" w:rsidP="005C7E6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06EA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lastRenderedPageBreak/>
              <w:t xml:space="preserve">Иные межбюджетные трансферты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E67" w:rsidRPr="005C7E67" w:rsidRDefault="005C7E67" w:rsidP="005C7E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C7E6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E67" w:rsidRPr="005C7E67" w:rsidRDefault="005C7E67" w:rsidP="005C7E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C7E6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E67" w:rsidRPr="005C7E67" w:rsidRDefault="005C7E67" w:rsidP="005C7E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C7E6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3,0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E67" w:rsidRPr="005C7E67" w:rsidRDefault="005C7E67" w:rsidP="005C7E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E67" w:rsidRPr="005C7E67" w:rsidRDefault="005C7E67" w:rsidP="005C7E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C7E6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</w:tr>
      <w:tr w:rsidR="005C7E67" w:rsidRPr="00906EA9" w:rsidTr="00F94E03">
        <w:trPr>
          <w:trHeight w:val="248"/>
        </w:trPr>
        <w:tc>
          <w:tcPr>
            <w:tcW w:w="3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E67" w:rsidRPr="00906EA9" w:rsidRDefault="005C7E67" w:rsidP="005C7E6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Безвозмездные поступления от негосударственных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E67" w:rsidRPr="005C7E67" w:rsidRDefault="005C7E67" w:rsidP="005C7E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C7E6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E67" w:rsidRPr="005C7E67" w:rsidRDefault="005C7E67" w:rsidP="005C7E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C7E6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1208,0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E67" w:rsidRPr="005C7E67" w:rsidRDefault="005C7E67" w:rsidP="005C7E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C7E6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1208,0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E67" w:rsidRPr="005C7E67" w:rsidRDefault="00A87630" w:rsidP="005C7E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E67" w:rsidRPr="005C7E67" w:rsidRDefault="005C7E67" w:rsidP="005C7E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C7E6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6,2%</w:t>
            </w:r>
          </w:p>
        </w:tc>
      </w:tr>
      <w:tr w:rsidR="005C7E67" w:rsidRPr="00906EA9" w:rsidTr="00F94E03">
        <w:trPr>
          <w:trHeight w:val="248"/>
        </w:trPr>
        <w:tc>
          <w:tcPr>
            <w:tcW w:w="325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E67" w:rsidRPr="00906EA9" w:rsidRDefault="005C7E67" w:rsidP="005C7E67">
            <w:pPr>
              <w:jc w:val="both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906EA9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E67" w:rsidRPr="005C7E67" w:rsidRDefault="005C7E67" w:rsidP="005C7E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C7E6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147,7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E67" w:rsidRPr="005C7E67" w:rsidRDefault="005C7E67" w:rsidP="005C7E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C7E6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147,7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E67" w:rsidRPr="005C7E67" w:rsidRDefault="005C7E67" w:rsidP="005C7E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C7E6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E67" w:rsidRPr="005C7E67" w:rsidRDefault="005C7E67" w:rsidP="005C7E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C7E6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0,0%</w:t>
            </w:r>
          </w:p>
        </w:tc>
        <w:tc>
          <w:tcPr>
            <w:tcW w:w="11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7E67" w:rsidRPr="005C7E67" w:rsidRDefault="005C7E67" w:rsidP="005C7E67">
            <w:pPr>
              <w:jc w:val="center"/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</w:pPr>
            <w:r w:rsidRPr="005C7E67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</w:rPr>
              <w:t>0,8%</w:t>
            </w:r>
          </w:p>
        </w:tc>
      </w:tr>
    </w:tbl>
    <w:p w:rsidR="005C7E67" w:rsidRDefault="005C7E67" w:rsidP="00D75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87630" w:rsidRPr="00906EA9" w:rsidRDefault="00A87630" w:rsidP="00A8763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906EA9">
        <w:rPr>
          <w:rFonts w:ascii="Times New Roman" w:hAnsi="Times New Roman"/>
          <w:sz w:val="28"/>
          <w:szCs w:val="28"/>
        </w:rPr>
        <w:t>В целом доходная часть бюджета на 202</w:t>
      </w:r>
      <w:r>
        <w:rPr>
          <w:rFonts w:ascii="Times New Roman" w:hAnsi="Times New Roman"/>
          <w:sz w:val="28"/>
          <w:szCs w:val="28"/>
        </w:rPr>
        <w:t>1</w:t>
      </w:r>
      <w:r w:rsidRPr="00906EA9">
        <w:rPr>
          <w:rFonts w:ascii="Times New Roman" w:hAnsi="Times New Roman"/>
          <w:sz w:val="28"/>
          <w:szCs w:val="28"/>
        </w:rPr>
        <w:t xml:space="preserve"> год увеличивается на </w:t>
      </w:r>
      <w:r>
        <w:rPr>
          <w:rFonts w:ascii="Times New Roman" w:hAnsi="Times New Roman"/>
          <w:sz w:val="28"/>
          <w:szCs w:val="28"/>
        </w:rPr>
        <w:t>3014,0 тыс.</w:t>
      </w:r>
      <w:r w:rsidRPr="00906EA9">
        <w:rPr>
          <w:rFonts w:ascii="Times New Roman" w:hAnsi="Times New Roman"/>
          <w:sz w:val="28"/>
          <w:szCs w:val="28"/>
        </w:rPr>
        <w:t xml:space="preserve"> рублей (+</w:t>
      </w:r>
      <w:r>
        <w:rPr>
          <w:rFonts w:ascii="Times New Roman" w:hAnsi="Times New Roman"/>
          <w:sz w:val="28"/>
          <w:szCs w:val="28"/>
        </w:rPr>
        <w:t xml:space="preserve">18,5 </w:t>
      </w:r>
      <w:r w:rsidRPr="00906EA9">
        <w:rPr>
          <w:rFonts w:ascii="Times New Roman" w:hAnsi="Times New Roman"/>
          <w:sz w:val="28"/>
          <w:szCs w:val="28"/>
        </w:rPr>
        <w:t>%)</w:t>
      </w:r>
      <w:r>
        <w:rPr>
          <w:rFonts w:ascii="Times New Roman" w:hAnsi="Times New Roman"/>
          <w:sz w:val="28"/>
          <w:szCs w:val="28"/>
        </w:rPr>
        <w:t>. Налоговые и неналоговые доходы увеличатся на 155,0 тыс. рублей (доходы от реализации имущества согласно плану приватизации).  Безвозмездные поступления увеличатся на 2859,0 тыс. рублей</w:t>
      </w:r>
      <w:r w:rsidRPr="00A956A1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87F65">
        <w:rPr>
          <w:rFonts w:ascii="Times New Roman" w:hAnsi="Times New Roman"/>
          <w:sz w:val="28"/>
          <w:szCs w:val="28"/>
        </w:rPr>
        <w:t xml:space="preserve">субсидии (прочие субсидии) увеличиваются на </w:t>
      </w:r>
      <w:r w:rsidR="00A956A1">
        <w:rPr>
          <w:rFonts w:ascii="Times New Roman" w:hAnsi="Times New Roman"/>
          <w:sz w:val="28"/>
          <w:szCs w:val="28"/>
        </w:rPr>
        <w:t>1648,0</w:t>
      </w:r>
      <w:r w:rsidRPr="00287F65">
        <w:rPr>
          <w:rFonts w:ascii="Times New Roman" w:hAnsi="Times New Roman"/>
          <w:sz w:val="28"/>
          <w:szCs w:val="28"/>
        </w:rPr>
        <w:t xml:space="preserve"> тыс. рублей, или на </w:t>
      </w:r>
      <w:r w:rsidR="00A956A1">
        <w:rPr>
          <w:rFonts w:ascii="Times New Roman" w:hAnsi="Times New Roman"/>
          <w:sz w:val="28"/>
          <w:szCs w:val="28"/>
        </w:rPr>
        <w:t>53,9</w:t>
      </w:r>
      <w:r w:rsidRPr="00287F65">
        <w:rPr>
          <w:rFonts w:ascii="Times New Roman" w:hAnsi="Times New Roman"/>
          <w:sz w:val="28"/>
          <w:szCs w:val="28"/>
        </w:rPr>
        <w:t xml:space="preserve"> % (на реализацию проекта «Народный бюджет»), утверждаются </w:t>
      </w:r>
      <w:r w:rsidR="00A956A1">
        <w:rPr>
          <w:rFonts w:ascii="Times New Roman" w:hAnsi="Times New Roman"/>
          <w:sz w:val="28"/>
          <w:szCs w:val="28"/>
        </w:rPr>
        <w:t xml:space="preserve">иные межбюджетные трансферты </w:t>
      </w:r>
      <w:r w:rsidR="00A956A1">
        <w:rPr>
          <w:rFonts w:ascii="Times New Roman" w:hAnsi="Times New Roman"/>
          <w:iCs/>
          <w:sz w:val="28"/>
          <w:szCs w:val="28"/>
          <w:lang w:eastAsia="ru-RU"/>
        </w:rPr>
        <w:t xml:space="preserve">в объеме 3,0 тыс. рублей </w:t>
      </w:r>
      <w:r w:rsidR="00A956A1">
        <w:rPr>
          <w:rFonts w:ascii="Times New Roman" w:hAnsi="Times New Roman"/>
          <w:iCs/>
          <w:sz w:val="28"/>
          <w:szCs w:val="28"/>
        </w:rPr>
        <w:t xml:space="preserve">(из бюджета района на осуществление части полномочий в сфере градостроительной деятельности), </w:t>
      </w:r>
      <w:r w:rsidR="00AA12A5">
        <w:rPr>
          <w:rFonts w:ascii="Times New Roman" w:hAnsi="Times New Roman"/>
          <w:iCs/>
          <w:sz w:val="28"/>
          <w:szCs w:val="28"/>
        </w:rPr>
        <w:t xml:space="preserve">утверждаются </w:t>
      </w:r>
      <w:r>
        <w:rPr>
          <w:rFonts w:ascii="Times New Roman" w:hAnsi="Times New Roman"/>
          <w:sz w:val="28"/>
          <w:szCs w:val="28"/>
        </w:rPr>
        <w:t>безвозмездные поступления</w:t>
      </w:r>
      <w:r w:rsidR="00AA12A5">
        <w:rPr>
          <w:rFonts w:ascii="Times New Roman" w:hAnsi="Times New Roman"/>
          <w:sz w:val="28"/>
          <w:szCs w:val="28"/>
        </w:rPr>
        <w:t xml:space="preserve"> от негосударственных организаций</w:t>
      </w:r>
      <w:r>
        <w:rPr>
          <w:rFonts w:ascii="Times New Roman" w:hAnsi="Times New Roman"/>
          <w:sz w:val="28"/>
          <w:szCs w:val="28"/>
        </w:rPr>
        <w:t xml:space="preserve"> в</w:t>
      </w:r>
      <w:r w:rsidRPr="00287F65">
        <w:rPr>
          <w:rFonts w:ascii="Times New Roman" w:hAnsi="Times New Roman"/>
          <w:iCs/>
          <w:sz w:val="28"/>
          <w:szCs w:val="28"/>
        </w:rPr>
        <w:t xml:space="preserve"> объеме </w:t>
      </w:r>
      <w:r w:rsidR="00AA12A5">
        <w:rPr>
          <w:rFonts w:ascii="Times New Roman" w:hAnsi="Times New Roman"/>
          <w:iCs/>
          <w:sz w:val="28"/>
          <w:szCs w:val="28"/>
        </w:rPr>
        <w:t>1208,0</w:t>
      </w:r>
      <w:r w:rsidRPr="00287F65">
        <w:rPr>
          <w:rFonts w:ascii="Times New Roman" w:hAnsi="Times New Roman"/>
          <w:iCs/>
          <w:sz w:val="28"/>
          <w:szCs w:val="28"/>
        </w:rPr>
        <w:t xml:space="preserve"> тыс. рублей (</w:t>
      </w:r>
      <w:r>
        <w:rPr>
          <w:rFonts w:ascii="Times New Roman" w:hAnsi="Times New Roman"/>
          <w:iCs/>
          <w:sz w:val="28"/>
          <w:szCs w:val="28"/>
        </w:rPr>
        <w:t>финансовая помощь АО «Белый Ручей»</w:t>
      </w:r>
      <w:r w:rsidR="00AA12A5">
        <w:rPr>
          <w:rFonts w:ascii="Times New Roman" w:hAnsi="Times New Roman"/>
          <w:iCs/>
          <w:sz w:val="28"/>
          <w:szCs w:val="28"/>
        </w:rPr>
        <w:t>).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Общий </w:t>
      </w:r>
      <w:r w:rsidR="00AA12A5" w:rsidRPr="00906EA9">
        <w:rPr>
          <w:rFonts w:ascii="Times New Roman" w:hAnsi="Times New Roman"/>
          <w:sz w:val="28"/>
          <w:szCs w:val="28"/>
        </w:rPr>
        <w:t xml:space="preserve">объем </w:t>
      </w:r>
      <w:r w:rsidR="00AA12A5">
        <w:rPr>
          <w:rFonts w:ascii="Times New Roman" w:hAnsi="Times New Roman"/>
          <w:sz w:val="28"/>
          <w:szCs w:val="28"/>
        </w:rPr>
        <w:t xml:space="preserve">налоговых и неналоговых доходов составит 7603,0 </w:t>
      </w:r>
      <w:r w:rsidR="00AA12A5" w:rsidRPr="00906EA9">
        <w:rPr>
          <w:rFonts w:ascii="Times New Roman" w:hAnsi="Times New Roman"/>
          <w:sz w:val="28"/>
          <w:szCs w:val="28"/>
        </w:rPr>
        <w:t xml:space="preserve">тыс. рублей, </w:t>
      </w:r>
      <w:r w:rsidR="00AA12A5">
        <w:rPr>
          <w:rFonts w:ascii="Times New Roman" w:hAnsi="Times New Roman"/>
          <w:sz w:val="28"/>
          <w:szCs w:val="28"/>
        </w:rPr>
        <w:t>или 39,3 % от общего объема доходов,</w:t>
      </w:r>
      <w:r w:rsidR="00AA12A5" w:rsidRPr="00906EA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объем </w:t>
      </w:r>
      <w:r w:rsidRPr="00906EA9">
        <w:rPr>
          <w:rFonts w:ascii="Times New Roman" w:hAnsi="Times New Roman"/>
          <w:sz w:val="28"/>
          <w:szCs w:val="28"/>
        </w:rPr>
        <w:t>безвозмездных поступлений</w:t>
      </w:r>
      <w:r>
        <w:rPr>
          <w:rFonts w:ascii="Times New Roman" w:hAnsi="Times New Roman"/>
          <w:sz w:val="28"/>
          <w:szCs w:val="28"/>
        </w:rPr>
        <w:t xml:space="preserve"> составит </w:t>
      </w:r>
      <w:r w:rsidR="00AA12A5">
        <w:rPr>
          <w:rFonts w:ascii="Times New Roman" w:hAnsi="Times New Roman"/>
          <w:sz w:val="28"/>
          <w:szCs w:val="28"/>
        </w:rPr>
        <w:t>11729,9</w:t>
      </w:r>
      <w:r>
        <w:rPr>
          <w:rFonts w:ascii="Times New Roman" w:hAnsi="Times New Roman"/>
          <w:sz w:val="28"/>
          <w:szCs w:val="28"/>
        </w:rPr>
        <w:t xml:space="preserve"> тыс. рублей,</w:t>
      </w:r>
      <w:r w:rsidR="00AA12A5">
        <w:rPr>
          <w:rFonts w:ascii="Times New Roman" w:hAnsi="Times New Roman"/>
          <w:sz w:val="28"/>
          <w:szCs w:val="28"/>
        </w:rPr>
        <w:t xml:space="preserve"> и</w:t>
      </w:r>
      <w:r w:rsidR="00AA12A5" w:rsidRPr="00906EA9">
        <w:rPr>
          <w:rFonts w:ascii="Times New Roman" w:hAnsi="Times New Roman"/>
          <w:sz w:val="28"/>
          <w:szCs w:val="28"/>
        </w:rPr>
        <w:t xml:space="preserve">х доля в общем объеме доходов – </w:t>
      </w:r>
      <w:r w:rsidR="00AA12A5">
        <w:rPr>
          <w:rFonts w:ascii="Times New Roman" w:hAnsi="Times New Roman"/>
          <w:sz w:val="28"/>
          <w:szCs w:val="28"/>
        </w:rPr>
        <w:t xml:space="preserve">60,7 </w:t>
      </w:r>
      <w:r w:rsidR="00AA12A5" w:rsidRPr="00906EA9">
        <w:rPr>
          <w:rFonts w:ascii="Times New Roman" w:hAnsi="Times New Roman"/>
          <w:sz w:val="28"/>
          <w:szCs w:val="28"/>
        </w:rPr>
        <w:t>%</w:t>
      </w:r>
      <w:r w:rsidR="00AA12A5">
        <w:rPr>
          <w:rFonts w:ascii="Times New Roman" w:hAnsi="Times New Roman"/>
          <w:sz w:val="28"/>
          <w:szCs w:val="28"/>
        </w:rPr>
        <w:t>(+6,3%)</w:t>
      </w:r>
      <w:r w:rsidR="00AA12A5" w:rsidRPr="00906EA9">
        <w:rPr>
          <w:rFonts w:ascii="Times New Roman" w:hAnsi="Times New Roman"/>
          <w:sz w:val="28"/>
          <w:szCs w:val="28"/>
        </w:rPr>
        <w:t>.</w:t>
      </w:r>
      <w:r w:rsidRPr="00906EA9">
        <w:rPr>
          <w:rFonts w:ascii="Times New Roman" w:hAnsi="Times New Roman"/>
          <w:sz w:val="28"/>
          <w:szCs w:val="28"/>
        </w:rPr>
        <w:t xml:space="preserve"> Общий объем доходов бюджета поселения – </w:t>
      </w:r>
      <w:r w:rsidR="00AA12A5">
        <w:rPr>
          <w:rFonts w:ascii="Times New Roman" w:hAnsi="Times New Roman"/>
          <w:sz w:val="28"/>
          <w:szCs w:val="28"/>
        </w:rPr>
        <w:t>19332,9</w:t>
      </w:r>
      <w:r>
        <w:rPr>
          <w:rFonts w:ascii="Times New Roman" w:hAnsi="Times New Roman"/>
          <w:sz w:val="28"/>
          <w:szCs w:val="28"/>
        </w:rPr>
        <w:t xml:space="preserve"> </w:t>
      </w:r>
      <w:r w:rsidRPr="00906EA9">
        <w:rPr>
          <w:rFonts w:ascii="Times New Roman" w:hAnsi="Times New Roman"/>
          <w:sz w:val="28"/>
          <w:szCs w:val="28"/>
        </w:rPr>
        <w:t xml:space="preserve">тыс. рублей. </w:t>
      </w:r>
    </w:p>
    <w:p w:rsidR="005C7E67" w:rsidRDefault="005C7E67" w:rsidP="00D75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E58C1" w:rsidRPr="003E58C1" w:rsidRDefault="003E58C1" w:rsidP="003E58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3E58C1">
        <w:rPr>
          <w:rFonts w:ascii="Times New Roman" w:hAnsi="Times New Roman"/>
          <w:sz w:val="28"/>
          <w:szCs w:val="28"/>
        </w:rPr>
        <w:t xml:space="preserve">Согласно проекта решения общий объем расходов бюджета в 2021 году увеличится на </w:t>
      </w:r>
      <w:r>
        <w:rPr>
          <w:rFonts w:ascii="Times New Roman" w:hAnsi="Times New Roman"/>
          <w:sz w:val="28"/>
          <w:szCs w:val="28"/>
        </w:rPr>
        <w:t>3773,0</w:t>
      </w:r>
      <w:r w:rsidRPr="003E58C1">
        <w:rPr>
          <w:rFonts w:ascii="Times New Roman" w:hAnsi="Times New Roman"/>
          <w:sz w:val="28"/>
          <w:szCs w:val="28"/>
        </w:rPr>
        <w:t xml:space="preserve"> тыс. рублей (+ </w:t>
      </w:r>
      <w:r>
        <w:rPr>
          <w:rFonts w:ascii="Times New Roman" w:hAnsi="Times New Roman"/>
          <w:sz w:val="28"/>
          <w:szCs w:val="28"/>
        </w:rPr>
        <w:t xml:space="preserve">21,4 </w:t>
      </w:r>
      <w:r w:rsidRPr="003E58C1">
        <w:rPr>
          <w:rFonts w:ascii="Times New Roman" w:hAnsi="Times New Roman"/>
          <w:sz w:val="28"/>
          <w:szCs w:val="28"/>
        </w:rPr>
        <w:t xml:space="preserve">%) и составит </w:t>
      </w:r>
      <w:r>
        <w:rPr>
          <w:rFonts w:ascii="Times New Roman" w:hAnsi="Times New Roman"/>
          <w:sz w:val="28"/>
          <w:szCs w:val="28"/>
        </w:rPr>
        <w:t>21416,1</w:t>
      </w:r>
      <w:r w:rsidRPr="003E58C1">
        <w:rPr>
          <w:rFonts w:ascii="Times New Roman" w:hAnsi="Times New Roman"/>
          <w:sz w:val="28"/>
          <w:szCs w:val="28"/>
        </w:rPr>
        <w:t xml:space="preserve"> тыс. рублей. Расходы увеличатся за счет увеличения доходной базы и за счет остатка средств на счетах по состоянию на 01.01.2021 года. Изменения приведены в Приложении 1 к Заключению.</w:t>
      </w:r>
    </w:p>
    <w:p w:rsidR="005C7E67" w:rsidRDefault="003E58C1" w:rsidP="00D75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</w:p>
    <w:p w:rsidR="003E58C1" w:rsidRPr="003E58C1" w:rsidRDefault="003E58C1" w:rsidP="003E58C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3E58C1">
        <w:rPr>
          <w:rFonts w:ascii="Times New Roman" w:hAnsi="Times New Roman"/>
          <w:sz w:val="28"/>
          <w:szCs w:val="28"/>
        </w:rPr>
        <w:t>Проектом решения у</w:t>
      </w:r>
      <w:r>
        <w:rPr>
          <w:rFonts w:ascii="Times New Roman" w:hAnsi="Times New Roman"/>
          <w:sz w:val="28"/>
          <w:szCs w:val="28"/>
        </w:rPr>
        <w:t xml:space="preserve">величивается </w:t>
      </w:r>
      <w:r w:rsidRPr="003E58C1">
        <w:rPr>
          <w:rFonts w:ascii="Times New Roman" w:hAnsi="Times New Roman"/>
          <w:sz w:val="28"/>
          <w:szCs w:val="28"/>
        </w:rPr>
        <w:t xml:space="preserve">дефицит бюджета </w:t>
      </w:r>
      <w:r w:rsidR="00695E97">
        <w:rPr>
          <w:rFonts w:ascii="Times New Roman" w:hAnsi="Times New Roman"/>
          <w:sz w:val="28"/>
          <w:szCs w:val="28"/>
        </w:rPr>
        <w:t>на</w:t>
      </w:r>
      <w:r w:rsidR="0098031A">
        <w:rPr>
          <w:rFonts w:ascii="Times New Roman" w:hAnsi="Times New Roman"/>
          <w:sz w:val="28"/>
          <w:szCs w:val="28"/>
        </w:rPr>
        <w:t xml:space="preserve"> 759,0 тыс. рублей</w:t>
      </w:r>
      <w:r w:rsidR="00695E97">
        <w:rPr>
          <w:rFonts w:ascii="Times New Roman" w:hAnsi="Times New Roman"/>
          <w:sz w:val="28"/>
          <w:szCs w:val="28"/>
        </w:rPr>
        <w:t>, объем дефицита составит</w:t>
      </w:r>
      <w:r w:rsidR="00695E97" w:rsidRPr="00695E97">
        <w:rPr>
          <w:rFonts w:ascii="Times New Roman" w:hAnsi="Times New Roman"/>
          <w:sz w:val="28"/>
          <w:szCs w:val="28"/>
        </w:rPr>
        <w:t xml:space="preserve"> </w:t>
      </w:r>
      <w:r w:rsidR="00695E97">
        <w:rPr>
          <w:rFonts w:ascii="Times New Roman" w:hAnsi="Times New Roman"/>
          <w:sz w:val="28"/>
          <w:szCs w:val="28"/>
        </w:rPr>
        <w:t>2083,2</w:t>
      </w:r>
      <w:r w:rsidR="00695E97" w:rsidRPr="003E58C1">
        <w:rPr>
          <w:rFonts w:ascii="Times New Roman" w:hAnsi="Times New Roman"/>
          <w:sz w:val="28"/>
          <w:szCs w:val="28"/>
        </w:rPr>
        <w:t xml:space="preserve"> тыс. рублей</w:t>
      </w:r>
      <w:r w:rsidR="00695E97">
        <w:rPr>
          <w:rFonts w:ascii="Times New Roman" w:hAnsi="Times New Roman"/>
          <w:sz w:val="28"/>
          <w:szCs w:val="28"/>
        </w:rPr>
        <w:t>.</w:t>
      </w:r>
      <w:r w:rsidRPr="003E58C1">
        <w:rPr>
          <w:rFonts w:ascii="Times New Roman" w:hAnsi="Times New Roman"/>
          <w:sz w:val="28"/>
          <w:szCs w:val="28"/>
        </w:rPr>
        <w:t xml:space="preserve"> Источниками финансирования дефицита бюджета является изменение остатков средств на счетах бюджета по состоянию на 01 01.2021 года.</w:t>
      </w:r>
      <w:r w:rsidR="0098031A">
        <w:rPr>
          <w:rFonts w:ascii="Times New Roman" w:hAnsi="Times New Roman"/>
          <w:sz w:val="28"/>
          <w:szCs w:val="28"/>
        </w:rPr>
        <w:t xml:space="preserve"> </w:t>
      </w:r>
      <w:r w:rsidRPr="003E58C1">
        <w:rPr>
          <w:rFonts w:ascii="Times New Roman" w:hAnsi="Times New Roman"/>
          <w:sz w:val="28"/>
          <w:szCs w:val="28"/>
        </w:rPr>
        <w:t>Предлагаемый к утверждению объем дефицита соответствует нормам статьи 92.1 Бюджетного кодекса Российской Федерации.</w:t>
      </w:r>
    </w:p>
    <w:p w:rsidR="005C7E67" w:rsidRDefault="005C7E67" w:rsidP="00D75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031A" w:rsidRDefault="0098031A" w:rsidP="009803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627432">
        <w:rPr>
          <w:rFonts w:ascii="Times New Roman" w:hAnsi="Times New Roman"/>
          <w:sz w:val="28"/>
          <w:szCs w:val="28"/>
        </w:rPr>
        <w:t xml:space="preserve">Объем бюджетных ассигнований по разделу </w:t>
      </w:r>
      <w:r w:rsidRPr="0079050A">
        <w:rPr>
          <w:rFonts w:ascii="Times New Roman" w:hAnsi="Times New Roman"/>
          <w:b/>
          <w:sz w:val="28"/>
          <w:szCs w:val="28"/>
        </w:rPr>
        <w:t>01 «Общегосударственные вопросы»</w:t>
      </w:r>
      <w:r w:rsidRPr="00627432">
        <w:rPr>
          <w:rFonts w:ascii="Times New Roman" w:hAnsi="Times New Roman"/>
          <w:sz w:val="28"/>
          <w:szCs w:val="28"/>
        </w:rPr>
        <w:t xml:space="preserve"> у</w:t>
      </w:r>
      <w:r>
        <w:rPr>
          <w:rFonts w:ascii="Times New Roman" w:hAnsi="Times New Roman"/>
          <w:sz w:val="28"/>
          <w:szCs w:val="28"/>
        </w:rPr>
        <w:t>величится 421,0 тыс. рублей (+6,8 %).</w:t>
      </w:r>
    </w:p>
    <w:p w:rsidR="0098031A" w:rsidRDefault="0098031A" w:rsidP="0098031A">
      <w:pPr>
        <w:spacing w:after="0" w:line="240" w:lineRule="auto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Расходы по</w:t>
      </w:r>
      <w:r w:rsidRPr="00627432">
        <w:rPr>
          <w:rFonts w:ascii="Times New Roman" w:hAnsi="Times New Roman"/>
          <w:sz w:val="28"/>
          <w:szCs w:val="28"/>
        </w:rPr>
        <w:t xml:space="preserve"> подразделу </w:t>
      </w:r>
      <w:r w:rsidRPr="001A76D9">
        <w:rPr>
          <w:rFonts w:ascii="Times New Roman" w:hAnsi="Times New Roman"/>
          <w:i/>
          <w:sz w:val="28"/>
          <w:szCs w:val="28"/>
        </w:rPr>
        <w:t>0104 «Функционирование Правительства Российской Федерации, высших исполнительных органов государственной власти субъектов Российской Федерации, местной администрации»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8244A0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величатся</w:t>
      </w:r>
      <w:r w:rsidRPr="008244A0">
        <w:rPr>
          <w:rFonts w:ascii="Times New Roman" w:hAnsi="Times New Roman"/>
          <w:sz w:val="28"/>
          <w:szCs w:val="28"/>
        </w:rPr>
        <w:t xml:space="preserve"> </w:t>
      </w:r>
      <w:r w:rsidRPr="00E26903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>223,0</w:t>
      </w:r>
      <w:r w:rsidRPr="00E26903">
        <w:rPr>
          <w:rFonts w:ascii="Times New Roman" w:hAnsi="Times New Roman"/>
          <w:sz w:val="28"/>
          <w:szCs w:val="28"/>
        </w:rPr>
        <w:t xml:space="preserve"> тыс. рублей</w:t>
      </w:r>
      <w:r w:rsidRPr="0098031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на 220,0 тыс. рублей увеличатся расходы на обеспечение функционирования органов местного самоуправления (расходы на закупки), в объеме 3,0 тыс. рублей утверждаются расходы на решение вопросов местного значения межмуниципального значения в </w:t>
      </w:r>
      <w:r>
        <w:rPr>
          <w:rFonts w:ascii="Times New Roman" w:hAnsi="Times New Roman"/>
          <w:iCs/>
          <w:sz w:val="28"/>
          <w:szCs w:val="28"/>
        </w:rPr>
        <w:t xml:space="preserve">сфере градостроительной деятельности (решение Совета сельского поселения Девятинское от 12.03.2021 № 11 </w:t>
      </w:r>
      <w:r>
        <w:rPr>
          <w:rFonts w:ascii="Times New Roman" w:hAnsi="Times New Roman"/>
          <w:iCs/>
          <w:sz w:val="28"/>
          <w:szCs w:val="28"/>
        </w:rPr>
        <w:lastRenderedPageBreak/>
        <w:t xml:space="preserve">«Об определении органа местного самоуправления, уполномоченного на осуществление части полномочий в сфере градостроительной деятельности»).  </w:t>
      </w:r>
    </w:p>
    <w:p w:rsidR="0098031A" w:rsidRDefault="0098031A" w:rsidP="009803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8031A" w:rsidRPr="00FF64AD" w:rsidRDefault="0098031A" w:rsidP="0098031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 подразделу 0113 </w:t>
      </w:r>
      <w:r w:rsidRPr="00FF64AD">
        <w:rPr>
          <w:rFonts w:ascii="Times New Roman" w:hAnsi="Times New Roman"/>
          <w:i/>
          <w:sz w:val="28"/>
          <w:szCs w:val="28"/>
        </w:rPr>
        <w:t xml:space="preserve">«Другие общегосударственные вопросы» </w:t>
      </w:r>
      <w:r w:rsidRPr="00FF64AD">
        <w:rPr>
          <w:rFonts w:ascii="Times New Roman" w:hAnsi="Times New Roman"/>
          <w:sz w:val="28"/>
          <w:szCs w:val="28"/>
        </w:rPr>
        <w:t xml:space="preserve">расходы увеличатся на </w:t>
      </w:r>
      <w:r>
        <w:rPr>
          <w:rFonts w:ascii="Times New Roman" w:hAnsi="Times New Roman"/>
          <w:sz w:val="28"/>
          <w:szCs w:val="28"/>
        </w:rPr>
        <w:t xml:space="preserve">198,0 </w:t>
      </w:r>
      <w:r w:rsidRPr="00FF64AD">
        <w:rPr>
          <w:rFonts w:ascii="Times New Roman" w:hAnsi="Times New Roman"/>
          <w:sz w:val="28"/>
          <w:szCs w:val="28"/>
        </w:rPr>
        <w:t>тыс. рублей</w:t>
      </w:r>
      <w:r w:rsidRPr="0098031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на 3,0 тыс. рублей увеличатся расходы на выполнение других обязательств государства (кадастровые работы), утверждаются расходы в объеме 125,0 тыс. рублей на проведение мероприятий, посвященных празднованию Дню Победы (за счет финансовой помощи АО «Белый ручей»), на 70,0 тыс. рублей увеличатся расходы на </w:t>
      </w:r>
      <w:r w:rsidR="000856CB">
        <w:rPr>
          <w:rFonts w:ascii="Times New Roman" w:hAnsi="Times New Roman"/>
          <w:sz w:val="28"/>
          <w:szCs w:val="28"/>
        </w:rPr>
        <w:t>содержание обслуживание казны.</w:t>
      </w:r>
    </w:p>
    <w:p w:rsidR="005C7E67" w:rsidRDefault="005C7E67" w:rsidP="00D75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F0F1A" w:rsidRDefault="004F0F1A" w:rsidP="004A56B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Pr="0079050A">
        <w:rPr>
          <w:rFonts w:ascii="Times New Roman" w:hAnsi="Times New Roman"/>
          <w:sz w:val="28"/>
          <w:szCs w:val="28"/>
        </w:rPr>
        <w:t xml:space="preserve">Проектом решения предлагается </w:t>
      </w:r>
      <w:r>
        <w:rPr>
          <w:rFonts w:ascii="Times New Roman" w:hAnsi="Times New Roman"/>
          <w:sz w:val="28"/>
          <w:szCs w:val="28"/>
        </w:rPr>
        <w:t>увеличить на 980,5 тыс. рублей расходы на обеспечение мероприятий по пожарной безопасности</w:t>
      </w:r>
      <w:r w:rsidR="000856CB" w:rsidRPr="000856CB">
        <w:rPr>
          <w:rFonts w:ascii="Times New Roman" w:hAnsi="Times New Roman"/>
          <w:sz w:val="28"/>
          <w:szCs w:val="28"/>
        </w:rPr>
        <w:t xml:space="preserve"> </w:t>
      </w:r>
      <w:r w:rsidR="000856CB">
        <w:rPr>
          <w:rFonts w:ascii="Times New Roman" w:hAnsi="Times New Roman"/>
          <w:sz w:val="28"/>
          <w:szCs w:val="28"/>
        </w:rPr>
        <w:t>по</w:t>
      </w:r>
      <w:r w:rsidR="000856CB" w:rsidRPr="0079050A">
        <w:rPr>
          <w:rFonts w:ascii="Times New Roman" w:hAnsi="Times New Roman"/>
          <w:sz w:val="28"/>
          <w:szCs w:val="28"/>
        </w:rPr>
        <w:t xml:space="preserve"> подраздел</w:t>
      </w:r>
      <w:r w:rsidR="000856CB">
        <w:rPr>
          <w:rFonts w:ascii="Times New Roman" w:hAnsi="Times New Roman"/>
          <w:sz w:val="28"/>
          <w:szCs w:val="28"/>
        </w:rPr>
        <w:t>у</w:t>
      </w:r>
      <w:r w:rsidR="000856CB" w:rsidRPr="0079050A">
        <w:rPr>
          <w:rFonts w:ascii="Times New Roman" w:hAnsi="Times New Roman"/>
          <w:sz w:val="28"/>
          <w:szCs w:val="28"/>
        </w:rPr>
        <w:t xml:space="preserve"> </w:t>
      </w:r>
      <w:r w:rsidR="000856CB" w:rsidRPr="0079050A">
        <w:rPr>
          <w:rFonts w:ascii="Times New Roman" w:hAnsi="Times New Roman"/>
          <w:i/>
          <w:sz w:val="28"/>
          <w:szCs w:val="28"/>
        </w:rPr>
        <w:t>0</w:t>
      </w:r>
      <w:r w:rsidR="000856CB">
        <w:rPr>
          <w:rFonts w:ascii="Times New Roman" w:hAnsi="Times New Roman"/>
          <w:i/>
          <w:sz w:val="28"/>
          <w:szCs w:val="28"/>
        </w:rPr>
        <w:t>310</w:t>
      </w:r>
      <w:r w:rsidR="000856CB" w:rsidRPr="0079050A">
        <w:rPr>
          <w:rFonts w:ascii="Times New Roman" w:hAnsi="Times New Roman"/>
          <w:i/>
          <w:sz w:val="28"/>
          <w:szCs w:val="28"/>
        </w:rPr>
        <w:t xml:space="preserve"> «</w:t>
      </w:r>
      <w:r w:rsidR="000856CB" w:rsidRPr="001A0CFF">
        <w:rPr>
          <w:rFonts w:ascii="Times New Roman" w:hAnsi="Times New Roman"/>
          <w:i/>
          <w:sz w:val="28"/>
          <w:szCs w:val="28"/>
          <w:lang w:eastAsia="ru-RU"/>
        </w:rPr>
        <w:t>Защита населения и территории от чрезвычайных ситуаций природного и техногенного характера, пожарная безопасность»</w:t>
      </w:r>
      <w:r w:rsidR="000856CB" w:rsidRPr="0079050A">
        <w:rPr>
          <w:rFonts w:ascii="Times New Roman" w:hAnsi="Times New Roman"/>
          <w:sz w:val="28"/>
          <w:szCs w:val="28"/>
        </w:rPr>
        <w:t xml:space="preserve"> раздела </w:t>
      </w:r>
      <w:r w:rsidR="000856CB" w:rsidRPr="0079050A">
        <w:rPr>
          <w:rFonts w:ascii="Times New Roman" w:hAnsi="Times New Roman"/>
          <w:b/>
          <w:sz w:val="28"/>
          <w:szCs w:val="28"/>
        </w:rPr>
        <w:t>0</w:t>
      </w:r>
      <w:r w:rsidR="000856CB">
        <w:rPr>
          <w:rFonts w:ascii="Times New Roman" w:hAnsi="Times New Roman"/>
          <w:b/>
          <w:sz w:val="28"/>
          <w:szCs w:val="28"/>
        </w:rPr>
        <w:t>3</w:t>
      </w:r>
      <w:r w:rsidR="000856CB" w:rsidRPr="0079050A">
        <w:rPr>
          <w:rFonts w:ascii="Times New Roman" w:hAnsi="Times New Roman"/>
          <w:b/>
          <w:sz w:val="28"/>
          <w:szCs w:val="28"/>
        </w:rPr>
        <w:t xml:space="preserve"> </w:t>
      </w:r>
      <w:r w:rsidR="000856CB" w:rsidRPr="001A0CFF">
        <w:rPr>
          <w:rFonts w:ascii="Times New Roman" w:hAnsi="Times New Roman"/>
          <w:b/>
          <w:sz w:val="28"/>
          <w:szCs w:val="28"/>
          <w:lang w:eastAsia="ru-RU"/>
        </w:rPr>
        <w:t>«Национальная безопасность и правоохранительная деятельность</w:t>
      </w:r>
      <w:r w:rsidR="000856CB" w:rsidRPr="0079050A">
        <w:rPr>
          <w:rFonts w:ascii="Times New Roman" w:hAnsi="Times New Roman"/>
          <w:b/>
          <w:sz w:val="28"/>
          <w:szCs w:val="28"/>
        </w:rPr>
        <w:t>»</w:t>
      </w:r>
      <w:r w:rsidRPr="004F0F1A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на 150,0 тыс. рублей увеличатся расходы, связанные с обеспечением безопасности и жизнедеятельности (ремонт пожарного водоема), в объеме 830,5 тыс. рублей утверждаются расходы на мероприятия по реализации проекта «Народный бюджет»</w:t>
      </w:r>
      <w:r w:rsidR="004A56B3" w:rsidRPr="004A56B3">
        <w:rPr>
          <w:rFonts w:ascii="Times New Roman" w:hAnsi="Times New Roman"/>
          <w:sz w:val="28"/>
          <w:szCs w:val="28"/>
        </w:rPr>
        <w:t xml:space="preserve"> </w:t>
      </w:r>
      <w:r w:rsidR="004A56B3">
        <w:rPr>
          <w:rFonts w:ascii="Times New Roman" w:hAnsi="Times New Roman"/>
          <w:sz w:val="28"/>
          <w:szCs w:val="28"/>
        </w:rPr>
        <w:t xml:space="preserve">(субсидия из областного бюджета). </w:t>
      </w:r>
      <w:r>
        <w:rPr>
          <w:rFonts w:ascii="Times New Roman" w:hAnsi="Times New Roman"/>
          <w:sz w:val="28"/>
          <w:szCs w:val="28"/>
        </w:rPr>
        <w:t xml:space="preserve">Расходы по разделу составят </w:t>
      </w:r>
      <w:r w:rsidR="000856CB">
        <w:rPr>
          <w:rFonts w:ascii="Times New Roman" w:hAnsi="Times New Roman"/>
          <w:sz w:val="28"/>
          <w:szCs w:val="28"/>
        </w:rPr>
        <w:t>2332,4</w:t>
      </w:r>
      <w:r>
        <w:rPr>
          <w:rFonts w:ascii="Times New Roman" w:hAnsi="Times New Roman"/>
          <w:sz w:val="28"/>
          <w:szCs w:val="28"/>
        </w:rPr>
        <w:t xml:space="preserve"> тыс. рублей. </w:t>
      </w:r>
    </w:p>
    <w:p w:rsidR="004F0F1A" w:rsidRDefault="004F0F1A" w:rsidP="00D75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C7E67" w:rsidRDefault="000856CB" w:rsidP="004A56B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3238E6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величение р</w:t>
      </w:r>
      <w:r w:rsidRPr="003238E6">
        <w:rPr>
          <w:rFonts w:ascii="Times New Roman" w:hAnsi="Times New Roman"/>
          <w:sz w:val="28"/>
          <w:szCs w:val="28"/>
        </w:rPr>
        <w:t xml:space="preserve">асходов в разделе </w:t>
      </w:r>
      <w:r w:rsidRPr="0079050A">
        <w:rPr>
          <w:rFonts w:ascii="Times New Roman" w:hAnsi="Times New Roman"/>
          <w:b/>
          <w:sz w:val="28"/>
          <w:szCs w:val="28"/>
        </w:rPr>
        <w:t>05 «Жилищно-коммунальное хозяйство»</w:t>
      </w:r>
      <w:r w:rsidRPr="003238E6">
        <w:rPr>
          <w:rFonts w:ascii="Times New Roman" w:hAnsi="Times New Roman"/>
          <w:sz w:val="28"/>
          <w:szCs w:val="28"/>
        </w:rPr>
        <w:t xml:space="preserve"> составит </w:t>
      </w:r>
      <w:r>
        <w:rPr>
          <w:rFonts w:ascii="Times New Roman" w:hAnsi="Times New Roman"/>
          <w:sz w:val="28"/>
          <w:szCs w:val="28"/>
        </w:rPr>
        <w:t>1575,6 т</w:t>
      </w:r>
      <w:r w:rsidRPr="003238E6">
        <w:rPr>
          <w:rFonts w:ascii="Times New Roman" w:hAnsi="Times New Roman"/>
          <w:sz w:val="28"/>
          <w:szCs w:val="28"/>
        </w:rPr>
        <w:t>ыс. рублей (</w:t>
      </w:r>
      <w:r>
        <w:rPr>
          <w:rFonts w:ascii="Times New Roman" w:hAnsi="Times New Roman"/>
          <w:sz w:val="28"/>
          <w:szCs w:val="28"/>
        </w:rPr>
        <w:t xml:space="preserve">+ 23,9 %). Расходы увеличатся </w:t>
      </w:r>
      <w:r w:rsidRPr="003238E6">
        <w:rPr>
          <w:rFonts w:ascii="Times New Roman" w:hAnsi="Times New Roman"/>
          <w:sz w:val="28"/>
          <w:szCs w:val="28"/>
        </w:rPr>
        <w:t xml:space="preserve">по подразделу </w:t>
      </w:r>
      <w:r w:rsidRPr="00E86ABF">
        <w:rPr>
          <w:rFonts w:ascii="Times New Roman" w:hAnsi="Times New Roman"/>
          <w:i/>
          <w:sz w:val="28"/>
          <w:szCs w:val="28"/>
        </w:rPr>
        <w:t>0503 «Благоустройство»</w:t>
      </w:r>
      <w:r w:rsidRPr="000A51B7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на 272,6 тыс. рублей увеличатся ра</w:t>
      </w:r>
      <w:r w:rsidRPr="003238E6">
        <w:rPr>
          <w:rFonts w:ascii="Times New Roman" w:hAnsi="Times New Roman"/>
          <w:sz w:val="28"/>
          <w:szCs w:val="28"/>
        </w:rPr>
        <w:t>сходы</w:t>
      </w:r>
      <w:r>
        <w:rPr>
          <w:rFonts w:ascii="Times New Roman" w:hAnsi="Times New Roman"/>
          <w:sz w:val="28"/>
          <w:szCs w:val="28"/>
        </w:rPr>
        <w:t xml:space="preserve"> на прочие мероприятия по благоустройству, в объеме 1083,0 тыс. рублей утверждаются расходы благоустройство территории поселения (за счет финансовой помощи АО «Белый ручей»), на 210,0 тыс. рублей увеличиваются расходы на мероприятия по </w:t>
      </w:r>
      <w:r w:rsidRPr="00287F65">
        <w:rPr>
          <w:rFonts w:ascii="Times New Roman" w:hAnsi="Times New Roman"/>
          <w:sz w:val="28"/>
          <w:szCs w:val="28"/>
        </w:rPr>
        <w:t>реализаци</w:t>
      </w:r>
      <w:r>
        <w:rPr>
          <w:rFonts w:ascii="Times New Roman" w:hAnsi="Times New Roman"/>
          <w:sz w:val="28"/>
          <w:szCs w:val="28"/>
        </w:rPr>
        <w:t>и</w:t>
      </w:r>
      <w:r w:rsidRPr="00287F65">
        <w:rPr>
          <w:rFonts w:ascii="Times New Roman" w:hAnsi="Times New Roman"/>
          <w:sz w:val="28"/>
          <w:szCs w:val="28"/>
        </w:rPr>
        <w:t xml:space="preserve"> проекта «Народный бюджет»</w:t>
      </w:r>
      <w:r>
        <w:rPr>
          <w:rFonts w:ascii="Times New Roman" w:hAnsi="Times New Roman"/>
          <w:sz w:val="28"/>
          <w:szCs w:val="28"/>
        </w:rPr>
        <w:t xml:space="preserve"> (субсидия из областного бюджета), </w:t>
      </w:r>
      <w:r w:rsidR="004A56B3">
        <w:rPr>
          <w:rFonts w:ascii="Times New Roman" w:hAnsi="Times New Roman"/>
          <w:sz w:val="28"/>
          <w:szCs w:val="28"/>
        </w:rPr>
        <w:t>в объеме 10,0 тыс. рублей утверждаются расходы н</w:t>
      </w:r>
      <w:r>
        <w:rPr>
          <w:rFonts w:ascii="Times New Roman" w:hAnsi="Times New Roman"/>
          <w:sz w:val="28"/>
          <w:szCs w:val="28"/>
        </w:rPr>
        <w:t xml:space="preserve">а </w:t>
      </w:r>
      <w:r w:rsidR="004A56B3">
        <w:rPr>
          <w:rFonts w:ascii="Times New Roman" w:hAnsi="Times New Roman"/>
          <w:sz w:val="28"/>
          <w:szCs w:val="28"/>
        </w:rPr>
        <w:t xml:space="preserve">благоустройство </w:t>
      </w:r>
      <w:r>
        <w:rPr>
          <w:rFonts w:ascii="Times New Roman" w:hAnsi="Times New Roman"/>
          <w:sz w:val="28"/>
          <w:szCs w:val="28"/>
        </w:rPr>
        <w:t>мест захоронений</w:t>
      </w:r>
      <w:r w:rsidR="004A56B3">
        <w:rPr>
          <w:rFonts w:ascii="Times New Roman" w:hAnsi="Times New Roman"/>
          <w:sz w:val="28"/>
          <w:szCs w:val="28"/>
        </w:rPr>
        <w:t xml:space="preserve"> участников ВОВ.</w:t>
      </w:r>
    </w:p>
    <w:p w:rsidR="005C7E67" w:rsidRDefault="005C7E67" w:rsidP="00D75D4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A56B3" w:rsidRDefault="004A56B3" w:rsidP="004A56B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По </w:t>
      </w:r>
      <w:r w:rsidRPr="00746083">
        <w:rPr>
          <w:rFonts w:ascii="Times New Roman" w:hAnsi="Times New Roman"/>
          <w:b/>
          <w:sz w:val="28"/>
          <w:szCs w:val="28"/>
        </w:rPr>
        <w:t>раздел</w:t>
      </w:r>
      <w:r>
        <w:rPr>
          <w:rFonts w:ascii="Times New Roman" w:hAnsi="Times New Roman"/>
          <w:b/>
          <w:sz w:val="28"/>
          <w:szCs w:val="28"/>
        </w:rPr>
        <w:t>у</w:t>
      </w:r>
      <w:r w:rsidRPr="00746083">
        <w:rPr>
          <w:rFonts w:ascii="Times New Roman" w:hAnsi="Times New Roman"/>
          <w:b/>
          <w:sz w:val="28"/>
          <w:szCs w:val="28"/>
        </w:rPr>
        <w:t xml:space="preserve"> </w:t>
      </w:r>
      <w:r w:rsidRPr="00C04232">
        <w:rPr>
          <w:rFonts w:ascii="Times New Roman" w:hAnsi="Times New Roman"/>
          <w:b/>
          <w:sz w:val="28"/>
          <w:szCs w:val="28"/>
        </w:rPr>
        <w:t>08 «Культура, кинематография»</w:t>
      </w:r>
      <w:r w:rsidRPr="007460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расходы увеличатся на</w:t>
      </w:r>
      <w:r w:rsidRPr="007460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795,9 </w:t>
      </w:r>
      <w:r w:rsidRPr="00746083">
        <w:rPr>
          <w:rFonts w:ascii="Times New Roman" w:hAnsi="Times New Roman"/>
          <w:sz w:val="28"/>
          <w:szCs w:val="28"/>
        </w:rPr>
        <w:t>тыс. рублей</w:t>
      </w:r>
      <w:r>
        <w:rPr>
          <w:rFonts w:ascii="Times New Roman" w:hAnsi="Times New Roman"/>
          <w:sz w:val="28"/>
          <w:szCs w:val="28"/>
        </w:rPr>
        <w:t xml:space="preserve">, или на 36,0 %. </w:t>
      </w:r>
    </w:p>
    <w:p w:rsidR="004A56B3" w:rsidRDefault="004A56B3" w:rsidP="004A56B3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П</w:t>
      </w:r>
      <w:r w:rsidRPr="003238E6">
        <w:rPr>
          <w:rFonts w:ascii="Times New Roman" w:hAnsi="Times New Roman"/>
          <w:sz w:val="28"/>
          <w:szCs w:val="28"/>
        </w:rPr>
        <w:t xml:space="preserve">о подразделу </w:t>
      </w:r>
      <w:r w:rsidRPr="00B8331C">
        <w:rPr>
          <w:rFonts w:ascii="Times New Roman" w:hAnsi="Times New Roman"/>
          <w:i/>
          <w:sz w:val="28"/>
          <w:szCs w:val="28"/>
        </w:rPr>
        <w:t>0801 «Культура»</w:t>
      </w:r>
      <w:r>
        <w:rPr>
          <w:rFonts w:ascii="Times New Roman" w:hAnsi="Times New Roman"/>
          <w:sz w:val="28"/>
          <w:szCs w:val="28"/>
        </w:rPr>
        <w:t xml:space="preserve"> на 154,4 тыс. рублей увеличатся иные межбюджетные трансферты, перечисляемые в бюджет района на исполнение администрацией района полномочий в сфере культуры на территории поселения (</w:t>
      </w:r>
      <w:r>
        <w:rPr>
          <w:rFonts w:ascii="Times New Roman" w:hAnsi="Times New Roman"/>
          <w:iCs/>
          <w:sz w:val="28"/>
          <w:szCs w:val="28"/>
        </w:rPr>
        <w:t xml:space="preserve">решение Совета сельского поселения Девятинское от 19.04.2021 № 14).  </w:t>
      </w:r>
    </w:p>
    <w:p w:rsidR="004A56B3" w:rsidRDefault="004A56B3" w:rsidP="004A56B3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       По подразделу </w:t>
      </w:r>
      <w:r w:rsidRPr="00695E97">
        <w:rPr>
          <w:rFonts w:ascii="Times New Roman" w:hAnsi="Times New Roman"/>
          <w:i/>
          <w:iCs/>
          <w:sz w:val="28"/>
          <w:szCs w:val="28"/>
        </w:rPr>
        <w:t>0</w:t>
      </w:r>
      <w:r w:rsidRPr="00695E97">
        <w:rPr>
          <w:rFonts w:ascii="Times New Roman" w:hAnsi="Times New Roman"/>
          <w:i/>
          <w:sz w:val="28"/>
          <w:szCs w:val="28"/>
        </w:rPr>
        <w:t>804</w:t>
      </w:r>
      <w:r>
        <w:rPr>
          <w:rFonts w:ascii="Times New Roman" w:hAnsi="Times New Roman"/>
          <w:sz w:val="28"/>
          <w:szCs w:val="28"/>
        </w:rPr>
        <w:t xml:space="preserve"> </w:t>
      </w:r>
      <w:r w:rsidRPr="00AB26DB">
        <w:rPr>
          <w:rFonts w:ascii="Times New Roman" w:hAnsi="Times New Roman"/>
          <w:i/>
          <w:sz w:val="28"/>
          <w:szCs w:val="28"/>
        </w:rPr>
        <w:t>«Другие вопросы в области культуры, кинематографии»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4A56B3">
        <w:rPr>
          <w:rFonts w:ascii="Times New Roman" w:hAnsi="Times New Roman"/>
          <w:sz w:val="28"/>
          <w:szCs w:val="28"/>
        </w:rPr>
        <w:t>расходы увеличатся на 641,5 тыс. рублей</w:t>
      </w:r>
      <w:r w:rsidRPr="00F50D0C">
        <w:rPr>
          <w:rFonts w:ascii="Times New Roman" w:hAnsi="Times New Roman"/>
          <w:i/>
          <w:sz w:val="28"/>
          <w:szCs w:val="28"/>
        </w:rPr>
        <w:t xml:space="preserve">: </w:t>
      </w:r>
      <w:r w:rsidRPr="00F50D0C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34,0 </w:t>
      </w:r>
      <w:r w:rsidRPr="00F50D0C">
        <w:rPr>
          <w:rFonts w:ascii="Times New Roman" w:hAnsi="Times New Roman"/>
          <w:sz w:val="28"/>
          <w:szCs w:val="28"/>
        </w:rPr>
        <w:t xml:space="preserve">тыс. рублей увеличатся </w:t>
      </w:r>
      <w:r w:rsidRPr="00F50D0C">
        <w:rPr>
          <w:rFonts w:ascii="Times New Roman" w:hAnsi="Times New Roman"/>
          <w:sz w:val="28"/>
          <w:szCs w:val="28"/>
        </w:rPr>
        <w:lastRenderedPageBreak/>
        <w:t>расходы</w:t>
      </w:r>
      <w:r>
        <w:rPr>
          <w:rFonts w:ascii="Times New Roman" w:hAnsi="Times New Roman"/>
          <w:i/>
          <w:sz w:val="28"/>
          <w:szCs w:val="28"/>
        </w:rPr>
        <w:t xml:space="preserve"> н</w:t>
      </w:r>
      <w:r>
        <w:rPr>
          <w:rFonts w:ascii="Times New Roman" w:hAnsi="Times New Roman"/>
          <w:sz w:val="28"/>
          <w:szCs w:val="28"/>
        </w:rPr>
        <w:t xml:space="preserve">а приобретение аппаратуры и материалов для нужд культуры, в объеме 607,5 тыс. рублей утверждаются расходы на мероприятия по </w:t>
      </w:r>
      <w:r w:rsidRPr="00287F65">
        <w:rPr>
          <w:rFonts w:ascii="Times New Roman" w:hAnsi="Times New Roman"/>
          <w:sz w:val="28"/>
          <w:szCs w:val="28"/>
        </w:rPr>
        <w:t>реализаци</w:t>
      </w:r>
      <w:r>
        <w:rPr>
          <w:rFonts w:ascii="Times New Roman" w:hAnsi="Times New Roman"/>
          <w:sz w:val="28"/>
          <w:szCs w:val="28"/>
        </w:rPr>
        <w:t>и</w:t>
      </w:r>
      <w:r w:rsidRPr="00287F65">
        <w:rPr>
          <w:rFonts w:ascii="Times New Roman" w:hAnsi="Times New Roman"/>
          <w:sz w:val="28"/>
          <w:szCs w:val="28"/>
        </w:rPr>
        <w:t xml:space="preserve"> проекта «Народный бюджет»</w:t>
      </w:r>
      <w:r>
        <w:rPr>
          <w:rFonts w:ascii="Times New Roman" w:hAnsi="Times New Roman"/>
          <w:sz w:val="28"/>
          <w:szCs w:val="28"/>
        </w:rPr>
        <w:t xml:space="preserve"> (субсидия из областного бюджета).</w:t>
      </w:r>
    </w:p>
    <w:p w:rsidR="00C41FBA" w:rsidRPr="005E5DFE" w:rsidRDefault="00C41FBA" w:rsidP="00C41FB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5E5DFE">
        <w:rPr>
          <w:rFonts w:ascii="Times New Roman" w:hAnsi="Times New Roman"/>
          <w:sz w:val="28"/>
          <w:szCs w:val="28"/>
        </w:rPr>
        <w:t xml:space="preserve">В результате изменений общий объем межбюджетных трансфертов, </w:t>
      </w:r>
      <w:r>
        <w:rPr>
          <w:rFonts w:ascii="Times New Roman" w:hAnsi="Times New Roman"/>
          <w:sz w:val="28"/>
          <w:szCs w:val="28"/>
        </w:rPr>
        <w:t xml:space="preserve">предоставляемых бюджету Вытегорского муниципального района из бюджета сельского поселения Девятинское на осуществление полномочий по решению вопросов местного значения в соответствии с заключенными соглашениями, </w:t>
      </w:r>
      <w:r w:rsidRPr="005E5DFE">
        <w:rPr>
          <w:rFonts w:ascii="Times New Roman" w:hAnsi="Times New Roman"/>
          <w:sz w:val="28"/>
          <w:szCs w:val="28"/>
        </w:rPr>
        <w:t xml:space="preserve">составит </w:t>
      </w:r>
      <w:r>
        <w:rPr>
          <w:rFonts w:ascii="Times New Roman" w:hAnsi="Times New Roman"/>
          <w:sz w:val="28"/>
          <w:szCs w:val="28"/>
        </w:rPr>
        <w:t>2570,2</w:t>
      </w:r>
      <w:r w:rsidRPr="005E5DFE">
        <w:rPr>
          <w:rFonts w:ascii="Times New Roman" w:hAnsi="Times New Roman"/>
          <w:sz w:val="28"/>
          <w:szCs w:val="28"/>
        </w:rPr>
        <w:t xml:space="preserve"> тыс. рублей. Соответствующие изменения внесены в подпункт 1 пункта </w:t>
      </w:r>
      <w:r>
        <w:rPr>
          <w:rFonts w:ascii="Times New Roman" w:hAnsi="Times New Roman"/>
          <w:sz w:val="28"/>
          <w:szCs w:val="28"/>
        </w:rPr>
        <w:t xml:space="preserve">9 </w:t>
      </w:r>
      <w:r w:rsidRPr="005E5DFE">
        <w:rPr>
          <w:rFonts w:ascii="Times New Roman" w:hAnsi="Times New Roman"/>
          <w:sz w:val="28"/>
          <w:szCs w:val="28"/>
        </w:rPr>
        <w:t>решения от 1</w:t>
      </w:r>
      <w:r>
        <w:rPr>
          <w:rFonts w:ascii="Times New Roman" w:hAnsi="Times New Roman"/>
          <w:sz w:val="28"/>
          <w:szCs w:val="28"/>
        </w:rPr>
        <w:t>8</w:t>
      </w:r>
      <w:r w:rsidRPr="005E5DFE">
        <w:rPr>
          <w:rFonts w:ascii="Times New Roman" w:hAnsi="Times New Roman"/>
          <w:sz w:val="28"/>
          <w:szCs w:val="28"/>
        </w:rPr>
        <w:t xml:space="preserve"> декабря 2019 г. № </w:t>
      </w:r>
      <w:r>
        <w:rPr>
          <w:rFonts w:ascii="Times New Roman" w:hAnsi="Times New Roman"/>
          <w:sz w:val="28"/>
          <w:szCs w:val="28"/>
        </w:rPr>
        <w:t xml:space="preserve">49 </w:t>
      </w:r>
      <w:r w:rsidRPr="005E5DFE">
        <w:rPr>
          <w:rFonts w:ascii="Times New Roman" w:hAnsi="Times New Roman"/>
          <w:sz w:val="28"/>
          <w:szCs w:val="28"/>
        </w:rPr>
        <w:t xml:space="preserve">«О бюджете сельского поселения </w:t>
      </w:r>
      <w:r>
        <w:rPr>
          <w:rFonts w:ascii="Times New Roman" w:hAnsi="Times New Roman"/>
          <w:sz w:val="28"/>
          <w:szCs w:val="28"/>
        </w:rPr>
        <w:t xml:space="preserve">Девятинское </w:t>
      </w:r>
      <w:r w:rsidRPr="005E5DFE">
        <w:rPr>
          <w:rFonts w:ascii="Times New Roman" w:hAnsi="Times New Roman"/>
          <w:sz w:val="28"/>
          <w:szCs w:val="28"/>
        </w:rPr>
        <w:t xml:space="preserve">на 2020 год и плановый период 2021и 2022 годов». </w:t>
      </w:r>
    </w:p>
    <w:p w:rsidR="00C41FBA" w:rsidRDefault="00C41FBA" w:rsidP="003238E6">
      <w:pPr>
        <w:spacing w:after="0"/>
        <w:jc w:val="both"/>
        <w:rPr>
          <w:rFonts w:ascii="Times New Roman" w:hAnsi="Times New Roman"/>
          <w:iCs/>
          <w:color w:val="000000"/>
          <w:sz w:val="28"/>
          <w:szCs w:val="28"/>
        </w:rPr>
      </w:pPr>
    </w:p>
    <w:p w:rsidR="00C41FBA" w:rsidRDefault="00C41FBA" w:rsidP="003238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color w:val="000000"/>
          <w:sz w:val="28"/>
          <w:szCs w:val="28"/>
        </w:rPr>
        <w:t xml:space="preserve">         </w:t>
      </w:r>
      <w:r w:rsidRPr="00CB7A19">
        <w:rPr>
          <w:rFonts w:ascii="Times New Roman" w:hAnsi="Times New Roman"/>
          <w:iCs/>
          <w:color w:val="000000"/>
          <w:sz w:val="28"/>
          <w:szCs w:val="28"/>
        </w:rPr>
        <w:t>Проектом решения предлагается утвердить пунктом 10 объем межбюджетных трансфертов</w:t>
      </w:r>
      <w:r w:rsidR="00284063">
        <w:rPr>
          <w:rFonts w:ascii="Times New Roman" w:hAnsi="Times New Roman"/>
          <w:iCs/>
          <w:color w:val="000000"/>
          <w:sz w:val="28"/>
          <w:szCs w:val="28"/>
        </w:rPr>
        <w:t xml:space="preserve"> на 2021 год</w:t>
      </w:r>
      <w:r w:rsidRPr="00CB7A19">
        <w:rPr>
          <w:rFonts w:ascii="Times New Roman" w:hAnsi="Times New Roman"/>
          <w:iCs/>
          <w:color w:val="000000"/>
          <w:sz w:val="28"/>
          <w:szCs w:val="28"/>
        </w:rPr>
        <w:t xml:space="preserve"> в сумме </w:t>
      </w:r>
      <w:r>
        <w:rPr>
          <w:rFonts w:ascii="Times New Roman" w:hAnsi="Times New Roman"/>
          <w:iCs/>
          <w:color w:val="000000"/>
          <w:sz w:val="28"/>
          <w:szCs w:val="28"/>
        </w:rPr>
        <w:t>3</w:t>
      </w:r>
      <w:r w:rsidRPr="00CB7A19">
        <w:rPr>
          <w:rFonts w:ascii="Times New Roman" w:hAnsi="Times New Roman"/>
          <w:iCs/>
          <w:color w:val="000000"/>
          <w:sz w:val="28"/>
          <w:szCs w:val="28"/>
        </w:rPr>
        <w:t xml:space="preserve">,0 тыс. рублей, предоставляемых бюджету сельского поселения </w:t>
      </w:r>
      <w:r>
        <w:rPr>
          <w:rFonts w:ascii="Times New Roman" w:hAnsi="Times New Roman"/>
          <w:iCs/>
          <w:color w:val="000000"/>
          <w:sz w:val="28"/>
          <w:szCs w:val="28"/>
        </w:rPr>
        <w:t>Девятинское</w:t>
      </w:r>
      <w:r w:rsidRPr="00CB7A19">
        <w:rPr>
          <w:rFonts w:ascii="Times New Roman" w:hAnsi="Times New Roman"/>
          <w:iCs/>
          <w:color w:val="000000"/>
          <w:sz w:val="28"/>
          <w:szCs w:val="28"/>
        </w:rPr>
        <w:t xml:space="preserve"> из бюджетов бюджетной системы Российской Федерации.      </w:t>
      </w:r>
    </w:p>
    <w:p w:rsidR="00C41FBA" w:rsidRDefault="00C41FBA" w:rsidP="003238E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84063" w:rsidRDefault="00284063" w:rsidP="003238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Проектом решения внесены изменения в доходную и расходную части бюджета на 2022 год. </w:t>
      </w:r>
    </w:p>
    <w:p w:rsidR="005034F0" w:rsidRDefault="00284063" w:rsidP="003238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Доходная часть бюджета уменьшена на 2638,6 тыс. рублей</w:t>
      </w:r>
      <w:r w:rsidRPr="00284063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исключены  </w:t>
      </w:r>
      <w:r w:rsidR="005034F0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рочие субсидии (на организацию уличного освещения). Объем безвозмездных поступлений в 2022 году составит 5828,2 тыс. рублей, об</w:t>
      </w:r>
      <w:r w:rsidR="005034F0">
        <w:rPr>
          <w:rFonts w:ascii="Times New Roman" w:hAnsi="Times New Roman"/>
          <w:sz w:val="28"/>
          <w:szCs w:val="28"/>
        </w:rPr>
        <w:t xml:space="preserve">щий объем доходов – 13412,2 тыс. рублей. </w:t>
      </w:r>
    </w:p>
    <w:p w:rsidR="005034F0" w:rsidRDefault="005034F0" w:rsidP="005034F0">
      <w:pPr>
        <w:tabs>
          <w:tab w:val="left" w:pos="552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Расходы поселения уменьшатся на 2638,6 тыс. рублей</w:t>
      </w:r>
      <w:r w:rsidRPr="005034F0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исключены расходы на организацию уличного освещения (раздел 05 «Жилищно-коммунальное хозяйство» подраздел 0502 «Коммунальное хозяйство») исполнение которых планировалось за счет соответствующей субсидии. Общий объем расходов по разделу составит 3998,7 тыс. рублей. </w:t>
      </w:r>
    </w:p>
    <w:p w:rsidR="0039172C" w:rsidRDefault="0039172C" w:rsidP="005034F0">
      <w:pPr>
        <w:tabs>
          <w:tab w:val="left" w:pos="552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39172C" w:rsidRPr="0039172C" w:rsidRDefault="0039172C" w:rsidP="0039172C">
      <w:pPr>
        <w:tabs>
          <w:tab w:val="left" w:pos="5529"/>
        </w:tabs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39172C">
        <w:rPr>
          <w:rFonts w:ascii="Times New Roman" w:hAnsi="Times New Roman"/>
          <w:sz w:val="28"/>
          <w:szCs w:val="28"/>
        </w:rPr>
        <w:t>Проектом решения внесены изменения в финансирование муниципальной программы «Благоустройство территории сельского поселения Девятинское на 2021-2025 годы» на 2021 и 2022 годы. Общий объем средств, направляемый на реализацию муниципальной программы в 202</w:t>
      </w:r>
      <w:r>
        <w:rPr>
          <w:rFonts w:ascii="Times New Roman" w:hAnsi="Times New Roman"/>
          <w:sz w:val="28"/>
          <w:szCs w:val="28"/>
        </w:rPr>
        <w:t>1</w:t>
      </w:r>
      <w:r w:rsidRPr="0039172C">
        <w:rPr>
          <w:rFonts w:ascii="Times New Roman" w:hAnsi="Times New Roman"/>
          <w:sz w:val="28"/>
          <w:szCs w:val="28"/>
        </w:rPr>
        <w:t xml:space="preserve"> году</w:t>
      </w:r>
      <w:r>
        <w:rPr>
          <w:rFonts w:ascii="Times New Roman" w:hAnsi="Times New Roman"/>
          <w:sz w:val="28"/>
          <w:szCs w:val="28"/>
        </w:rPr>
        <w:t>,</w:t>
      </w:r>
      <w:r w:rsidRPr="0039172C">
        <w:rPr>
          <w:rFonts w:ascii="Times New Roman" w:hAnsi="Times New Roman"/>
          <w:sz w:val="28"/>
          <w:szCs w:val="28"/>
        </w:rPr>
        <w:t xml:space="preserve"> увеличится на 1575,6 тыс. рублей и составит в 2021 году 8125,0 тыс. рублей, в 2022 году сократится на 2638,6 тыс. рублей и составит 3998,7 тыс. рублей. </w:t>
      </w:r>
    </w:p>
    <w:p w:rsidR="0039172C" w:rsidRDefault="0039172C" w:rsidP="005034F0">
      <w:pPr>
        <w:tabs>
          <w:tab w:val="left" w:pos="552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5034F0" w:rsidRDefault="005034F0" w:rsidP="00695E97">
      <w:pPr>
        <w:tabs>
          <w:tab w:val="left" w:pos="5529"/>
        </w:tabs>
        <w:spacing w:after="0"/>
        <w:jc w:val="both"/>
        <w:rPr>
          <w:rFonts w:ascii="Times New Roman" w:hAnsi="Times New Roman"/>
          <w:sz w:val="28"/>
          <w:szCs w:val="28"/>
        </w:rPr>
      </w:pPr>
    </w:p>
    <w:p w:rsidR="003238E6" w:rsidRDefault="003238E6" w:rsidP="003238E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034F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3238E6">
        <w:rPr>
          <w:rFonts w:ascii="Times New Roman" w:hAnsi="Times New Roman"/>
          <w:sz w:val="28"/>
          <w:szCs w:val="28"/>
        </w:rPr>
        <w:t>Проектом решения внесены соответствующие изменения в приложения к решению от 1</w:t>
      </w:r>
      <w:r w:rsidR="00E675B2">
        <w:rPr>
          <w:rFonts w:ascii="Times New Roman" w:hAnsi="Times New Roman"/>
          <w:sz w:val="28"/>
          <w:szCs w:val="28"/>
        </w:rPr>
        <w:t>8</w:t>
      </w:r>
      <w:r w:rsidRPr="003238E6">
        <w:rPr>
          <w:rFonts w:ascii="Times New Roman" w:hAnsi="Times New Roman"/>
          <w:sz w:val="28"/>
          <w:szCs w:val="28"/>
        </w:rPr>
        <w:t>.12.20</w:t>
      </w:r>
      <w:r w:rsidR="00E675B2">
        <w:rPr>
          <w:rFonts w:ascii="Times New Roman" w:hAnsi="Times New Roman"/>
          <w:sz w:val="28"/>
          <w:szCs w:val="28"/>
        </w:rPr>
        <w:t>20</w:t>
      </w:r>
      <w:r w:rsidRPr="003238E6">
        <w:rPr>
          <w:rFonts w:ascii="Times New Roman" w:hAnsi="Times New Roman"/>
          <w:sz w:val="28"/>
          <w:szCs w:val="28"/>
        </w:rPr>
        <w:t xml:space="preserve"> года № </w:t>
      </w:r>
      <w:r w:rsidR="00E675B2">
        <w:rPr>
          <w:rFonts w:ascii="Times New Roman" w:hAnsi="Times New Roman"/>
          <w:sz w:val="28"/>
          <w:szCs w:val="28"/>
        </w:rPr>
        <w:t>49</w:t>
      </w:r>
      <w:r w:rsidRPr="003238E6">
        <w:rPr>
          <w:rFonts w:ascii="Times New Roman" w:hAnsi="Times New Roman"/>
          <w:sz w:val="28"/>
          <w:szCs w:val="28"/>
        </w:rPr>
        <w:t xml:space="preserve"> «О бюджете сельского поселения </w:t>
      </w:r>
      <w:r>
        <w:rPr>
          <w:rFonts w:ascii="Times New Roman" w:hAnsi="Times New Roman"/>
          <w:sz w:val="28"/>
          <w:szCs w:val="28"/>
        </w:rPr>
        <w:t xml:space="preserve">Девятинское на </w:t>
      </w:r>
      <w:r w:rsidRPr="003238E6">
        <w:rPr>
          <w:rFonts w:ascii="Times New Roman" w:hAnsi="Times New Roman"/>
          <w:sz w:val="28"/>
          <w:szCs w:val="28"/>
        </w:rPr>
        <w:t>202</w:t>
      </w:r>
      <w:r w:rsidR="00E675B2">
        <w:rPr>
          <w:rFonts w:ascii="Times New Roman" w:hAnsi="Times New Roman"/>
          <w:sz w:val="28"/>
          <w:szCs w:val="28"/>
        </w:rPr>
        <w:t>1</w:t>
      </w:r>
      <w:r w:rsidRPr="003238E6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E675B2">
        <w:rPr>
          <w:rFonts w:ascii="Times New Roman" w:hAnsi="Times New Roman"/>
          <w:sz w:val="28"/>
          <w:szCs w:val="28"/>
        </w:rPr>
        <w:t>2</w:t>
      </w:r>
      <w:r w:rsidRPr="003238E6">
        <w:rPr>
          <w:rFonts w:ascii="Times New Roman" w:hAnsi="Times New Roman"/>
          <w:sz w:val="28"/>
          <w:szCs w:val="28"/>
        </w:rPr>
        <w:t xml:space="preserve"> и 202</w:t>
      </w:r>
      <w:r w:rsidR="00E675B2">
        <w:rPr>
          <w:rFonts w:ascii="Times New Roman" w:hAnsi="Times New Roman"/>
          <w:sz w:val="28"/>
          <w:szCs w:val="28"/>
        </w:rPr>
        <w:t>3</w:t>
      </w:r>
      <w:r w:rsidRPr="003238E6">
        <w:rPr>
          <w:rFonts w:ascii="Times New Roman" w:hAnsi="Times New Roman"/>
          <w:sz w:val="28"/>
          <w:szCs w:val="28"/>
        </w:rPr>
        <w:t xml:space="preserve"> годов».</w:t>
      </w:r>
    </w:p>
    <w:p w:rsidR="003B3A18" w:rsidRPr="008F616A" w:rsidRDefault="00BA357B" w:rsidP="00695E97">
      <w:pPr>
        <w:spacing w:after="0" w:line="240" w:lineRule="auto"/>
        <w:jc w:val="both"/>
        <w:rPr>
          <w:rFonts w:ascii="Times New Roman" w:hAnsi="Times New Roman"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6B3954">
        <w:t xml:space="preserve">     </w:t>
      </w:r>
      <w:r w:rsidR="00AE7B1A">
        <w:t xml:space="preserve">     </w:t>
      </w:r>
      <w:r w:rsidR="006B3954">
        <w:rPr>
          <w:rFonts w:ascii="Times New Roman" w:hAnsi="Times New Roman"/>
          <w:sz w:val="28"/>
          <w:szCs w:val="28"/>
        </w:rPr>
        <w:t xml:space="preserve">  </w:t>
      </w:r>
      <w:r w:rsidR="00AE7B1A">
        <w:rPr>
          <w:rFonts w:ascii="Times New Roman" w:hAnsi="Times New Roman"/>
          <w:sz w:val="28"/>
          <w:szCs w:val="28"/>
        </w:rPr>
        <w:t xml:space="preserve">  </w:t>
      </w:r>
      <w:r w:rsidR="006B3954">
        <w:rPr>
          <w:rFonts w:ascii="Times New Roman" w:hAnsi="Times New Roman"/>
          <w:sz w:val="28"/>
          <w:szCs w:val="28"/>
        </w:rPr>
        <w:t xml:space="preserve"> </w:t>
      </w:r>
      <w:r w:rsidR="00983957" w:rsidRPr="008F616A">
        <w:rPr>
          <w:rFonts w:ascii="Times New Roman" w:hAnsi="Times New Roman"/>
          <w:sz w:val="28"/>
          <w:szCs w:val="28"/>
        </w:rPr>
        <w:t xml:space="preserve"> </w:t>
      </w:r>
    </w:p>
    <w:p w:rsidR="00CD3851" w:rsidRDefault="006B3954" w:rsidP="00823E68">
      <w:pPr>
        <w:pStyle w:val="ConsPlusNormal"/>
        <w:jc w:val="both"/>
      </w:pPr>
      <w:r>
        <w:rPr>
          <w:sz w:val="28"/>
          <w:szCs w:val="28"/>
        </w:rPr>
        <w:lastRenderedPageBreak/>
        <w:t xml:space="preserve">    </w:t>
      </w:r>
      <w:r w:rsidR="00BF4C00" w:rsidRPr="008F616A">
        <w:rPr>
          <w:sz w:val="28"/>
          <w:szCs w:val="28"/>
        </w:rPr>
        <w:t xml:space="preserve"> </w:t>
      </w:r>
    </w:p>
    <w:p w:rsidR="00861CA2" w:rsidRDefault="006079AA" w:rsidP="002906C5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r w:rsidR="00861CA2" w:rsidRPr="008F616A">
        <w:rPr>
          <w:b/>
          <w:sz w:val="28"/>
          <w:szCs w:val="28"/>
        </w:rPr>
        <w:t>Выводы и предложения.</w:t>
      </w:r>
    </w:p>
    <w:p w:rsidR="002E63EA" w:rsidRPr="008F616A" w:rsidRDefault="002E63EA" w:rsidP="002906C5">
      <w:pPr>
        <w:pStyle w:val="ConsPlusNormal"/>
        <w:jc w:val="both"/>
        <w:rPr>
          <w:b/>
          <w:sz w:val="28"/>
          <w:szCs w:val="28"/>
        </w:rPr>
      </w:pPr>
    </w:p>
    <w:p w:rsidR="00CE6805" w:rsidRDefault="002E63EA" w:rsidP="00CE680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E86ABF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  </w:t>
      </w:r>
      <w:r w:rsidR="006B3954">
        <w:rPr>
          <w:rFonts w:ascii="Times New Roman" w:hAnsi="Times New Roman"/>
          <w:sz w:val="28"/>
          <w:szCs w:val="28"/>
        </w:rPr>
        <w:t xml:space="preserve"> </w:t>
      </w:r>
      <w:r w:rsidR="00FF3B10" w:rsidRPr="008F616A">
        <w:rPr>
          <w:rFonts w:ascii="Times New Roman" w:hAnsi="Times New Roman"/>
          <w:sz w:val="28"/>
          <w:szCs w:val="28"/>
        </w:rPr>
        <w:t>Представленный проект решения</w:t>
      </w:r>
      <w:r w:rsidR="00F441A5" w:rsidRPr="008F616A">
        <w:rPr>
          <w:rFonts w:ascii="Times New Roman" w:hAnsi="Times New Roman"/>
          <w:sz w:val="28"/>
          <w:szCs w:val="28"/>
        </w:rPr>
        <w:t xml:space="preserve"> </w:t>
      </w:r>
      <w:r w:rsidR="00FF3B10" w:rsidRPr="008F616A">
        <w:rPr>
          <w:rFonts w:ascii="Times New Roman" w:hAnsi="Times New Roman"/>
          <w:b/>
          <w:sz w:val="28"/>
          <w:szCs w:val="28"/>
        </w:rPr>
        <w:t xml:space="preserve">соответствует </w:t>
      </w:r>
      <w:r w:rsidR="00FF3B10" w:rsidRPr="00E86ABF">
        <w:rPr>
          <w:rFonts w:ascii="Times New Roman" w:hAnsi="Times New Roman"/>
          <w:sz w:val="28"/>
          <w:szCs w:val="28"/>
        </w:rPr>
        <w:t>требован</w:t>
      </w:r>
      <w:r w:rsidR="00FF3B10" w:rsidRPr="008F616A">
        <w:rPr>
          <w:rFonts w:ascii="Times New Roman" w:hAnsi="Times New Roman"/>
          <w:sz w:val="28"/>
          <w:szCs w:val="28"/>
        </w:rPr>
        <w:t>иям Бюджетного кодекса Российской Федерации</w:t>
      </w:r>
      <w:r w:rsidR="008009D5" w:rsidRPr="008F616A">
        <w:rPr>
          <w:rFonts w:ascii="Times New Roman" w:hAnsi="Times New Roman"/>
          <w:sz w:val="28"/>
          <w:szCs w:val="28"/>
        </w:rPr>
        <w:t xml:space="preserve">, Положению о бюджетном процессе в </w:t>
      </w:r>
      <w:r w:rsidR="002C5475" w:rsidRPr="008F616A">
        <w:rPr>
          <w:rFonts w:ascii="Times New Roman" w:hAnsi="Times New Roman"/>
          <w:sz w:val="28"/>
          <w:szCs w:val="28"/>
        </w:rPr>
        <w:t>сельском поселении Девятинское</w:t>
      </w:r>
      <w:r w:rsidR="00705309" w:rsidRPr="008F616A">
        <w:rPr>
          <w:rFonts w:ascii="Times New Roman" w:hAnsi="Times New Roman"/>
          <w:sz w:val="28"/>
          <w:szCs w:val="28"/>
        </w:rPr>
        <w:t>.</w:t>
      </w:r>
      <w:r w:rsidR="00721E72" w:rsidRPr="008F616A">
        <w:rPr>
          <w:rFonts w:ascii="Times New Roman" w:hAnsi="Times New Roman"/>
          <w:sz w:val="28"/>
          <w:szCs w:val="28"/>
        </w:rPr>
        <w:t xml:space="preserve"> </w:t>
      </w:r>
      <w:r w:rsidR="00C36CC0" w:rsidRPr="008F616A">
        <w:rPr>
          <w:rFonts w:ascii="Times New Roman" w:hAnsi="Times New Roman"/>
          <w:sz w:val="28"/>
          <w:szCs w:val="28"/>
        </w:rPr>
        <w:t>Ревизионная комиссия ВМР рекомендует представленный проект</w:t>
      </w:r>
      <w:r w:rsidR="0094088C" w:rsidRPr="008F616A">
        <w:rPr>
          <w:rFonts w:ascii="Times New Roman" w:hAnsi="Times New Roman"/>
          <w:sz w:val="28"/>
          <w:szCs w:val="28"/>
        </w:rPr>
        <w:t xml:space="preserve"> </w:t>
      </w:r>
      <w:r w:rsidR="0094088C" w:rsidRPr="008F616A">
        <w:rPr>
          <w:rFonts w:ascii="Times New Roman" w:hAnsi="Times New Roman"/>
          <w:b/>
          <w:sz w:val="28"/>
          <w:szCs w:val="28"/>
        </w:rPr>
        <w:t>к рассмотрению.</w:t>
      </w:r>
      <w:r w:rsidR="006B3954">
        <w:rPr>
          <w:rFonts w:ascii="Times New Roman" w:hAnsi="Times New Roman"/>
          <w:b/>
          <w:sz w:val="28"/>
          <w:szCs w:val="28"/>
        </w:rPr>
        <w:t xml:space="preserve"> </w:t>
      </w:r>
    </w:p>
    <w:p w:rsidR="004B3D8B" w:rsidRDefault="004B3D8B" w:rsidP="00CE680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F4D4E" w:rsidRPr="008F616A" w:rsidRDefault="00CC4E60" w:rsidP="00CE680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8F616A">
        <w:rPr>
          <w:rFonts w:ascii="Times New Roman" w:hAnsi="Times New Roman"/>
          <w:sz w:val="28"/>
          <w:szCs w:val="28"/>
        </w:rPr>
        <w:t xml:space="preserve"> </w:t>
      </w:r>
      <w:r w:rsidR="009E1803" w:rsidRPr="008F616A">
        <w:rPr>
          <w:rFonts w:ascii="Times New Roman" w:hAnsi="Times New Roman"/>
          <w:sz w:val="28"/>
          <w:szCs w:val="28"/>
        </w:rPr>
        <w:t>А</w:t>
      </w:r>
      <w:r w:rsidR="00C370AF" w:rsidRPr="008F616A">
        <w:rPr>
          <w:rFonts w:ascii="Times New Roman" w:hAnsi="Times New Roman"/>
          <w:sz w:val="28"/>
          <w:szCs w:val="28"/>
        </w:rPr>
        <w:t>удитор Ревизионной комиссии</w:t>
      </w:r>
      <w:r w:rsidR="006B3954">
        <w:rPr>
          <w:rFonts w:ascii="Times New Roman" w:hAnsi="Times New Roman"/>
          <w:sz w:val="28"/>
          <w:szCs w:val="28"/>
        </w:rPr>
        <w:t xml:space="preserve">                        </w:t>
      </w:r>
      <w:r w:rsidR="002E63EA">
        <w:rPr>
          <w:rFonts w:ascii="Times New Roman" w:hAnsi="Times New Roman"/>
          <w:sz w:val="28"/>
          <w:szCs w:val="28"/>
        </w:rPr>
        <w:t xml:space="preserve">                         </w:t>
      </w:r>
      <w:r w:rsidR="006B3954">
        <w:rPr>
          <w:rFonts w:ascii="Times New Roman" w:hAnsi="Times New Roman"/>
          <w:sz w:val="28"/>
          <w:szCs w:val="28"/>
        </w:rPr>
        <w:t xml:space="preserve">  </w:t>
      </w:r>
      <w:r w:rsidR="00C370AF" w:rsidRPr="008F616A">
        <w:rPr>
          <w:rFonts w:ascii="Times New Roman" w:hAnsi="Times New Roman"/>
          <w:sz w:val="28"/>
          <w:szCs w:val="28"/>
        </w:rPr>
        <w:t xml:space="preserve">О.Е. Нестерова </w:t>
      </w:r>
    </w:p>
    <w:sectPr w:rsidR="008F4D4E" w:rsidRPr="008F616A" w:rsidSect="001A0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212F" w:rsidRDefault="0011212F" w:rsidP="00923E33">
      <w:pPr>
        <w:spacing w:after="0" w:line="240" w:lineRule="auto"/>
      </w:pPr>
      <w:r>
        <w:separator/>
      </w:r>
    </w:p>
  </w:endnote>
  <w:endnote w:type="continuationSeparator" w:id="0">
    <w:p w:rsidR="0011212F" w:rsidRDefault="0011212F" w:rsidP="00923E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212F" w:rsidRDefault="0011212F" w:rsidP="00923E33">
      <w:pPr>
        <w:spacing w:after="0" w:line="240" w:lineRule="auto"/>
      </w:pPr>
      <w:r>
        <w:separator/>
      </w:r>
    </w:p>
  </w:footnote>
  <w:footnote w:type="continuationSeparator" w:id="0">
    <w:p w:rsidR="0011212F" w:rsidRDefault="0011212F" w:rsidP="00923E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7C7D27"/>
    <w:multiLevelType w:val="hybridMultilevel"/>
    <w:tmpl w:val="7BAAAA6A"/>
    <w:lvl w:ilvl="0" w:tplc="063A2C58">
      <w:start w:val="1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B90"/>
    <w:rsid w:val="000036C8"/>
    <w:rsid w:val="00004EDC"/>
    <w:rsid w:val="00007924"/>
    <w:rsid w:val="00010915"/>
    <w:rsid w:val="000164CB"/>
    <w:rsid w:val="00021F15"/>
    <w:rsid w:val="0002220F"/>
    <w:rsid w:val="00022553"/>
    <w:rsid w:val="00024826"/>
    <w:rsid w:val="000277BB"/>
    <w:rsid w:val="00060095"/>
    <w:rsid w:val="00074573"/>
    <w:rsid w:val="0007558B"/>
    <w:rsid w:val="00077A69"/>
    <w:rsid w:val="000809F5"/>
    <w:rsid w:val="000856CB"/>
    <w:rsid w:val="00085C53"/>
    <w:rsid w:val="000860D1"/>
    <w:rsid w:val="00097B73"/>
    <w:rsid w:val="000A1D64"/>
    <w:rsid w:val="000A5D13"/>
    <w:rsid w:val="000C5181"/>
    <w:rsid w:val="000C53F2"/>
    <w:rsid w:val="000D18AE"/>
    <w:rsid w:val="000D1EE5"/>
    <w:rsid w:val="000D4959"/>
    <w:rsid w:val="000D7F27"/>
    <w:rsid w:val="000E2A5E"/>
    <w:rsid w:val="000E5FD7"/>
    <w:rsid w:val="000E7213"/>
    <w:rsid w:val="000F0E54"/>
    <w:rsid w:val="000F2775"/>
    <w:rsid w:val="000F5854"/>
    <w:rsid w:val="000F58C5"/>
    <w:rsid w:val="00103C37"/>
    <w:rsid w:val="00104CEA"/>
    <w:rsid w:val="001104DE"/>
    <w:rsid w:val="0011212F"/>
    <w:rsid w:val="00117D21"/>
    <w:rsid w:val="0012620B"/>
    <w:rsid w:val="00127A6D"/>
    <w:rsid w:val="00130B02"/>
    <w:rsid w:val="001315F7"/>
    <w:rsid w:val="00137E7E"/>
    <w:rsid w:val="00140461"/>
    <w:rsid w:val="001409D4"/>
    <w:rsid w:val="001461CA"/>
    <w:rsid w:val="00147803"/>
    <w:rsid w:val="001518CC"/>
    <w:rsid w:val="001526F0"/>
    <w:rsid w:val="0016109C"/>
    <w:rsid w:val="00164454"/>
    <w:rsid w:val="00165AAD"/>
    <w:rsid w:val="00167024"/>
    <w:rsid w:val="0017780A"/>
    <w:rsid w:val="00183D38"/>
    <w:rsid w:val="00184B96"/>
    <w:rsid w:val="00193223"/>
    <w:rsid w:val="001A0468"/>
    <w:rsid w:val="001A355B"/>
    <w:rsid w:val="001A5F9A"/>
    <w:rsid w:val="001A63A5"/>
    <w:rsid w:val="001A7134"/>
    <w:rsid w:val="001A76D9"/>
    <w:rsid w:val="001B094B"/>
    <w:rsid w:val="001B25E5"/>
    <w:rsid w:val="001C5B58"/>
    <w:rsid w:val="001D4CD0"/>
    <w:rsid w:val="001D7C19"/>
    <w:rsid w:val="001E4835"/>
    <w:rsid w:val="001E4F2A"/>
    <w:rsid w:val="001E542E"/>
    <w:rsid w:val="001E6E62"/>
    <w:rsid w:val="001F459B"/>
    <w:rsid w:val="001F4B70"/>
    <w:rsid w:val="002019A4"/>
    <w:rsid w:val="00206AFC"/>
    <w:rsid w:val="002109E0"/>
    <w:rsid w:val="00211CAD"/>
    <w:rsid w:val="00221D96"/>
    <w:rsid w:val="00224450"/>
    <w:rsid w:val="002308E8"/>
    <w:rsid w:val="002378F3"/>
    <w:rsid w:val="0024205E"/>
    <w:rsid w:val="00246D3D"/>
    <w:rsid w:val="0025466B"/>
    <w:rsid w:val="00260A5B"/>
    <w:rsid w:val="00260D47"/>
    <w:rsid w:val="0026317C"/>
    <w:rsid w:val="00264914"/>
    <w:rsid w:val="002662FE"/>
    <w:rsid w:val="00267E35"/>
    <w:rsid w:val="00271432"/>
    <w:rsid w:val="0027174D"/>
    <w:rsid w:val="00271C0A"/>
    <w:rsid w:val="00277FE5"/>
    <w:rsid w:val="00284063"/>
    <w:rsid w:val="0028501C"/>
    <w:rsid w:val="00285495"/>
    <w:rsid w:val="002906C5"/>
    <w:rsid w:val="00291127"/>
    <w:rsid w:val="002B1EA1"/>
    <w:rsid w:val="002B4F08"/>
    <w:rsid w:val="002C0AB6"/>
    <w:rsid w:val="002C1232"/>
    <w:rsid w:val="002C1BD1"/>
    <w:rsid w:val="002C3FD9"/>
    <w:rsid w:val="002C486E"/>
    <w:rsid w:val="002C5475"/>
    <w:rsid w:val="002D0BAF"/>
    <w:rsid w:val="002D2268"/>
    <w:rsid w:val="002E01E0"/>
    <w:rsid w:val="002E039F"/>
    <w:rsid w:val="002E1391"/>
    <w:rsid w:val="002E5B38"/>
    <w:rsid w:val="002E63EA"/>
    <w:rsid w:val="002F2B10"/>
    <w:rsid w:val="00300CAE"/>
    <w:rsid w:val="00302C37"/>
    <w:rsid w:val="00307E29"/>
    <w:rsid w:val="00310047"/>
    <w:rsid w:val="00310732"/>
    <w:rsid w:val="00312619"/>
    <w:rsid w:val="00316F40"/>
    <w:rsid w:val="003238E6"/>
    <w:rsid w:val="003244BB"/>
    <w:rsid w:val="00325D6A"/>
    <w:rsid w:val="00326847"/>
    <w:rsid w:val="00336548"/>
    <w:rsid w:val="003429B9"/>
    <w:rsid w:val="00342EF8"/>
    <w:rsid w:val="00345439"/>
    <w:rsid w:val="00347C6D"/>
    <w:rsid w:val="003559B6"/>
    <w:rsid w:val="003659FB"/>
    <w:rsid w:val="00366C54"/>
    <w:rsid w:val="00370363"/>
    <w:rsid w:val="00373A42"/>
    <w:rsid w:val="00373ADB"/>
    <w:rsid w:val="0037759E"/>
    <w:rsid w:val="00380481"/>
    <w:rsid w:val="00380EFA"/>
    <w:rsid w:val="0038629A"/>
    <w:rsid w:val="00387AF8"/>
    <w:rsid w:val="00387DEE"/>
    <w:rsid w:val="003901EE"/>
    <w:rsid w:val="00390506"/>
    <w:rsid w:val="0039172C"/>
    <w:rsid w:val="00396E6E"/>
    <w:rsid w:val="003A2251"/>
    <w:rsid w:val="003A3FD9"/>
    <w:rsid w:val="003A5599"/>
    <w:rsid w:val="003B013F"/>
    <w:rsid w:val="003B0E51"/>
    <w:rsid w:val="003B19AF"/>
    <w:rsid w:val="003B33C8"/>
    <w:rsid w:val="003B3A18"/>
    <w:rsid w:val="003B5BB4"/>
    <w:rsid w:val="003D0315"/>
    <w:rsid w:val="003D05EE"/>
    <w:rsid w:val="003D7CDB"/>
    <w:rsid w:val="003E1CB4"/>
    <w:rsid w:val="003E4D1A"/>
    <w:rsid w:val="003E58C1"/>
    <w:rsid w:val="003E7492"/>
    <w:rsid w:val="003F1CEF"/>
    <w:rsid w:val="003F3BB0"/>
    <w:rsid w:val="003F6939"/>
    <w:rsid w:val="00404CA8"/>
    <w:rsid w:val="004132A9"/>
    <w:rsid w:val="00414502"/>
    <w:rsid w:val="00427951"/>
    <w:rsid w:val="00430A7D"/>
    <w:rsid w:val="00430F0E"/>
    <w:rsid w:val="00433A80"/>
    <w:rsid w:val="00440CBE"/>
    <w:rsid w:val="00442128"/>
    <w:rsid w:val="00445B90"/>
    <w:rsid w:val="0045230B"/>
    <w:rsid w:val="00456693"/>
    <w:rsid w:val="00461F84"/>
    <w:rsid w:val="00462F50"/>
    <w:rsid w:val="00464DE9"/>
    <w:rsid w:val="004661A2"/>
    <w:rsid w:val="00472F9E"/>
    <w:rsid w:val="00475B8D"/>
    <w:rsid w:val="004761BC"/>
    <w:rsid w:val="00480084"/>
    <w:rsid w:val="004817DB"/>
    <w:rsid w:val="00481E80"/>
    <w:rsid w:val="004847C2"/>
    <w:rsid w:val="0048782F"/>
    <w:rsid w:val="00491A21"/>
    <w:rsid w:val="00493C41"/>
    <w:rsid w:val="004A09C5"/>
    <w:rsid w:val="004A175A"/>
    <w:rsid w:val="004A3667"/>
    <w:rsid w:val="004A56B3"/>
    <w:rsid w:val="004B17B0"/>
    <w:rsid w:val="004B3D8B"/>
    <w:rsid w:val="004B62D5"/>
    <w:rsid w:val="004C3AD8"/>
    <w:rsid w:val="004C5B44"/>
    <w:rsid w:val="004D2018"/>
    <w:rsid w:val="004D797C"/>
    <w:rsid w:val="004E37DE"/>
    <w:rsid w:val="004E3E16"/>
    <w:rsid w:val="004E416E"/>
    <w:rsid w:val="004F0F1A"/>
    <w:rsid w:val="004F2CC3"/>
    <w:rsid w:val="004F45A8"/>
    <w:rsid w:val="004F78EC"/>
    <w:rsid w:val="005001FE"/>
    <w:rsid w:val="005034F0"/>
    <w:rsid w:val="005076C2"/>
    <w:rsid w:val="005105B3"/>
    <w:rsid w:val="00516A30"/>
    <w:rsid w:val="0052024B"/>
    <w:rsid w:val="00521B26"/>
    <w:rsid w:val="00521F95"/>
    <w:rsid w:val="00527685"/>
    <w:rsid w:val="0053116A"/>
    <w:rsid w:val="005376ED"/>
    <w:rsid w:val="00543635"/>
    <w:rsid w:val="005463F3"/>
    <w:rsid w:val="005523D5"/>
    <w:rsid w:val="0055310B"/>
    <w:rsid w:val="00557438"/>
    <w:rsid w:val="00564111"/>
    <w:rsid w:val="005641CC"/>
    <w:rsid w:val="00565796"/>
    <w:rsid w:val="00566B55"/>
    <w:rsid w:val="00567EAD"/>
    <w:rsid w:val="00577D1B"/>
    <w:rsid w:val="00581EDB"/>
    <w:rsid w:val="00585AEE"/>
    <w:rsid w:val="00592389"/>
    <w:rsid w:val="0059492A"/>
    <w:rsid w:val="00594FD2"/>
    <w:rsid w:val="005959DC"/>
    <w:rsid w:val="00597AC6"/>
    <w:rsid w:val="005A7C16"/>
    <w:rsid w:val="005B0A01"/>
    <w:rsid w:val="005B3767"/>
    <w:rsid w:val="005C0202"/>
    <w:rsid w:val="005C16BA"/>
    <w:rsid w:val="005C6037"/>
    <w:rsid w:val="005C7E67"/>
    <w:rsid w:val="005C7F8C"/>
    <w:rsid w:val="005D227C"/>
    <w:rsid w:val="005D3E9E"/>
    <w:rsid w:val="005D6E34"/>
    <w:rsid w:val="005E180A"/>
    <w:rsid w:val="005E3EBB"/>
    <w:rsid w:val="005E403D"/>
    <w:rsid w:val="005E6EDD"/>
    <w:rsid w:val="005F1616"/>
    <w:rsid w:val="005F6ECD"/>
    <w:rsid w:val="0060136C"/>
    <w:rsid w:val="006028B9"/>
    <w:rsid w:val="00603B70"/>
    <w:rsid w:val="00604409"/>
    <w:rsid w:val="006079AA"/>
    <w:rsid w:val="006138F6"/>
    <w:rsid w:val="00622080"/>
    <w:rsid w:val="006264BD"/>
    <w:rsid w:val="006270C2"/>
    <w:rsid w:val="00627432"/>
    <w:rsid w:val="00631073"/>
    <w:rsid w:val="00631FCE"/>
    <w:rsid w:val="00632540"/>
    <w:rsid w:val="00640A1A"/>
    <w:rsid w:val="00645EAB"/>
    <w:rsid w:val="00655534"/>
    <w:rsid w:val="00661CDE"/>
    <w:rsid w:val="00664EA5"/>
    <w:rsid w:val="00667300"/>
    <w:rsid w:val="006806D1"/>
    <w:rsid w:val="00683E39"/>
    <w:rsid w:val="00684D34"/>
    <w:rsid w:val="00693769"/>
    <w:rsid w:val="00695E97"/>
    <w:rsid w:val="006A02E1"/>
    <w:rsid w:val="006B3954"/>
    <w:rsid w:val="006B4085"/>
    <w:rsid w:val="006C4F11"/>
    <w:rsid w:val="006C784A"/>
    <w:rsid w:val="006E3C85"/>
    <w:rsid w:val="006E5899"/>
    <w:rsid w:val="006E7242"/>
    <w:rsid w:val="007007BA"/>
    <w:rsid w:val="00705309"/>
    <w:rsid w:val="0071307E"/>
    <w:rsid w:val="0071462A"/>
    <w:rsid w:val="0071614C"/>
    <w:rsid w:val="00721E72"/>
    <w:rsid w:val="00722B16"/>
    <w:rsid w:val="00723419"/>
    <w:rsid w:val="00723A22"/>
    <w:rsid w:val="00724861"/>
    <w:rsid w:val="0073249F"/>
    <w:rsid w:val="00734858"/>
    <w:rsid w:val="007370B0"/>
    <w:rsid w:val="0073751C"/>
    <w:rsid w:val="00737795"/>
    <w:rsid w:val="00743C9A"/>
    <w:rsid w:val="00745FAC"/>
    <w:rsid w:val="00750B9A"/>
    <w:rsid w:val="007600C9"/>
    <w:rsid w:val="007627B5"/>
    <w:rsid w:val="00762B1F"/>
    <w:rsid w:val="00782900"/>
    <w:rsid w:val="0079050A"/>
    <w:rsid w:val="00791842"/>
    <w:rsid w:val="007968D7"/>
    <w:rsid w:val="007A08BB"/>
    <w:rsid w:val="007A487D"/>
    <w:rsid w:val="007A4D82"/>
    <w:rsid w:val="007A64FD"/>
    <w:rsid w:val="007B0326"/>
    <w:rsid w:val="007B3E91"/>
    <w:rsid w:val="007B48B9"/>
    <w:rsid w:val="007C05FA"/>
    <w:rsid w:val="007C5ADC"/>
    <w:rsid w:val="007D62C8"/>
    <w:rsid w:val="007D78C1"/>
    <w:rsid w:val="007E37ED"/>
    <w:rsid w:val="007E6607"/>
    <w:rsid w:val="007E7D9D"/>
    <w:rsid w:val="007F5899"/>
    <w:rsid w:val="007F6432"/>
    <w:rsid w:val="008009D5"/>
    <w:rsid w:val="00800E26"/>
    <w:rsid w:val="00804BFC"/>
    <w:rsid w:val="00805E0C"/>
    <w:rsid w:val="00817B8C"/>
    <w:rsid w:val="0082077C"/>
    <w:rsid w:val="00820968"/>
    <w:rsid w:val="008222E7"/>
    <w:rsid w:val="00822B0A"/>
    <w:rsid w:val="00823E68"/>
    <w:rsid w:val="0083187E"/>
    <w:rsid w:val="00836491"/>
    <w:rsid w:val="00836838"/>
    <w:rsid w:val="00842209"/>
    <w:rsid w:val="00851013"/>
    <w:rsid w:val="00851465"/>
    <w:rsid w:val="00861CA2"/>
    <w:rsid w:val="008732D2"/>
    <w:rsid w:val="00876FB2"/>
    <w:rsid w:val="00877E37"/>
    <w:rsid w:val="008814C1"/>
    <w:rsid w:val="00881C2F"/>
    <w:rsid w:val="00883088"/>
    <w:rsid w:val="008855DD"/>
    <w:rsid w:val="0088563A"/>
    <w:rsid w:val="00886E10"/>
    <w:rsid w:val="0089096B"/>
    <w:rsid w:val="008911B5"/>
    <w:rsid w:val="008A1290"/>
    <w:rsid w:val="008A4161"/>
    <w:rsid w:val="008B1240"/>
    <w:rsid w:val="008B5429"/>
    <w:rsid w:val="008C0F34"/>
    <w:rsid w:val="008D021D"/>
    <w:rsid w:val="008E38BD"/>
    <w:rsid w:val="008E47D1"/>
    <w:rsid w:val="008E57A1"/>
    <w:rsid w:val="008E58E7"/>
    <w:rsid w:val="008E6511"/>
    <w:rsid w:val="008F20BA"/>
    <w:rsid w:val="008F4D4E"/>
    <w:rsid w:val="008F616A"/>
    <w:rsid w:val="0090008A"/>
    <w:rsid w:val="00900288"/>
    <w:rsid w:val="00912E08"/>
    <w:rsid w:val="00920DB9"/>
    <w:rsid w:val="00921084"/>
    <w:rsid w:val="00921471"/>
    <w:rsid w:val="00923E33"/>
    <w:rsid w:val="009246F0"/>
    <w:rsid w:val="00924E07"/>
    <w:rsid w:val="009332EA"/>
    <w:rsid w:val="00936EE6"/>
    <w:rsid w:val="00940880"/>
    <w:rsid w:val="0094088C"/>
    <w:rsid w:val="00942977"/>
    <w:rsid w:val="00944251"/>
    <w:rsid w:val="009506C6"/>
    <w:rsid w:val="009527F5"/>
    <w:rsid w:val="009567C9"/>
    <w:rsid w:val="00956931"/>
    <w:rsid w:val="0095742E"/>
    <w:rsid w:val="0098031A"/>
    <w:rsid w:val="00983957"/>
    <w:rsid w:val="009855AD"/>
    <w:rsid w:val="00991FD7"/>
    <w:rsid w:val="009936D7"/>
    <w:rsid w:val="009A7BBE"/>
    <w:rsid w:val="009B76C6"/>
    <w:rsid w:val="009C3482"/>
    <w:rsid w:val="009C76D3"/>
    <w:rsid w:val="009D4401"/>
    <w:rsid w:val="009D6707"/>
    <w:rsid w:val="009D716A"/>
    <w:rsid w:val="009E1803"/>
    <w:rsid w:val="009E2CF6"/>
    <w:rsid w:val="009E4C4D"/>
    <w:rsid w:val="009E55EF"/>
    <w:rsid w:val="009F1878"/>
    <w:rsid w:val="009F52E0"/>
    <w:rsid w:val="009F79A4"/>
    <w:rsid w:val="00A01FC4"/>
    <w:rsid w:val="00A03254"/>
    <w:rsid w:val="00A03A29"/>
    <w:rsid w:val="00A06B0D"/>
    <w:rsid w:val="00A07DC0"/>
    <w:rsid w:val="00A15710"/>
    <w:rsid w:val="00A16145"/>
    <w:rsid w:val="00A221E0"/>
    <w:rsid w:val="00A235D3"/>
    <w:rsid w:val="00A23E7D"/>
    <w:rsid w:val="00A5023E"/>
    <w:rsid w:val="00A506E7"/>
    <w:rsid w:val="00A50DAC"/>
    <w:rsid w:val="00A52747"/>
    <w:rsid w:val="00A52D47"/>
    <w:rsid w:val="00A54472"/>
    <w:rsid w:val="00A611BE"/>
    <w:rsid w:val="00A63119"/>
    <w:rsid w:val="00A673AA"/>
    <w:rsid w:val="00A703E5"/>
    <w:rsid w:val="00A70F43"/>
    <w:rsid w:val="00A77B1C"/>
    <w:rsid w:val="00A833C7"/>
    <w:rsid w:val="00A83A3C"/>
    <w:rsid w:val="00A85FC2"/>
    <w:rsid w:val="00A87630"/>
    <w:rsid w:val="00A879BD"/>
    <w:rsid w:val="00A91A1B"/>
    <w:rsid w:val="00A930EE"/>
    <w:rsid w:val="00A956A1"/>
    <w:rsid w:val="00A96DC4"/>
    <w:rsid w:val="00AA0374"/>
    <w:rsid w:val="00AA12A5"/>
    <w:rsid w:val="00AA7FF2"/>
    <w:rsid w:val="00AC036E"/>
    <w:rsid w:val="00AC3C02"/>
    <w:rsid w:val="00AC5CB6"/>
    <w:rsid w:val="00AD10C8"/>
    <w:rsid w:val="00AE10DE"/>
    <w:rsid w:val="00AE63B1"/>
    <w:rsid w:val="00AE7B1A"/>
    <w:rsid w:val="00AF1D5D"/>
    <w:rsid w:val="00B02398"/>
    <w:rsid w:val="00B0405F"/>
    <w:rsid w:val="00B04DE9"/>
    <w:rsid w:val="00B13CEC"/>
    <w:rsid w:val="00B156F0"/>
    <w:rsid w:val="00B17C04"/>
    <w:rsid w:val="00B22FA4"/>
    <w:rsid w:val="00B27A9D"/>
    <w:rsid w:val="00B27CFE"/>
    <w:rsid w:val="00B35B4C"/>
    <w:rsid w:val="00B35C6A"/>
    <w:rsid w:val="00B44ABC"/>
    <w:rsid w:val="00B57B7B"/>
    <w:rsid w:val="00B60349"/>
    <w:rsid w:val="00B608C1"/>
    <w:rsid w:val="00B70C3E"/>
    <w:rsid w:val="00B722F6"/>
    <w:rsid w:val="00B77005"/>
    <w:rsid w:val="00B8331C"/>
    <w:rsid w:val="00B8546B"/>
    <w:rsid w:val="00B90554"/>
    <w:rsid w:val="00B90A77"/>
    <w:rsid w:val="00B92ACB"/>
    <w:rsid w:val="00B94AEE"/>
    <w:rsid w:val="00B94D4A"/>
    <w:rsid w:val="00BA07C1"/>
    <w:rsid w:val="00BA357B"/>
    <w:rsid w:val="00BB3716"/>
    <w:rsid w:val="00BC00E1"/>
    <w:rsid w:val="00BC0598"/>
    <w:rsid w:val="00BC4430"/>
    <w:rsid w:val="00BC5034"/>
    <w:rsid w:val="00BD2082"/>
    <w:rsid w:val="00BD5BBB"/>
    <w:rsid w:val="00BE61C9"/>
    <w:rsid w:val="00BF1D1D"/>
    <w:rsid w:val="00BF4C00"/>
    <w:rsid w:val="00BF62C0"/>
    <w:rsid w:val="00C1055C"/>
    <w:rsid w:val="00C10AC5"/>
    <w:rsid w:val="00C11997"/>
    <w:rsid w:val="00C11F8C"/>
    <w:rsid w:val="00C13720"/>
    <w:rsid w:val="00C157B2"/>
    <w:rsid w:val="00C15CF8"/>
    <w:rsid w:val="00C20C4C"/>
    <w:rsid w:val="00C27FF3"/>
    <w:rsid w:val="00C31485"/>
    <w:rsid w:val="00C32BB2"/>
    <w:rsid w:val="00C36CC0"/>
    <w:rsid w:val="00C370AF"/>
    <w:rsid w:val="00C41FBA"/>
    <w:rsid w:val="00C46146"/>
    <w:rsid w:val="00C47729"/>
    <w:rsid w:val="00C501CE"/>
    <w:rsid w:val="00C541F5"/>
    <w:rsid w:val="00C56D9A"/>
    <w:rsid w:val="00C60D67"/>
    <w:rsid w:val="00C628EC"/>
    <w:rsid w:val="00C62D56"/>
    <w:rsid w:val="00C62E95"/>
    <w:rsid w:val="00C633F9"/>
    <w:rsid w:val="00C75F67"/>
    <w:rsid w:val="00C8327F"/>
    <w:rsid w:val="00C833CC"/>
    <w:rsid w:val="00C8385C"/>
    <w:rsid w:val="00C84EA6"/>
    <w:rsid w:val="00C85EC3"/>
    <w:rsid w:val="00C901FF"/>
    <w:rsid w:val="00C91447"/>
    <w:rsid w:val="00C952A7"/>
    <w:rsid w:val="00C96081"/>
    <w:rsid w:val="00C968CF"/>
    <w:rsid w:val="00CA2623"/>
    <w:rsid w:val="00CA65E3"/>
    <w:rsid w:val="00CB053B"/>
    <w:rsid w:val="00CB1248"/>
    <w:rsid w:val="00CB5431"/>
    <w:rsid w:val="00CC2D40"/>
    <w:rsid w:val="00CC423E"/>
    <w:rsid w:val="00CC4E60"/>
    <w:rsid w:val="00CC54C1"/>
    <w:rsid w:val="00CD3851"/>
    <w:rsid w:val="00CD3B73"/>
    <w:rsid w:val="00CD6595"/>
    <w:rsid w:val="00CD72CA"/>
    <w:rsid w:val="00CD7B1D"/>
    <w:rsid w:val="00CE24E2"/>
    <w:rsid w:val="00CE6805"/>
    <w:rsid w:val="00CF348A"/>
    <w:rsid w:val="00CF45FF"/>
    <w:rsid w:val="00CF6836"/>
    <w:rsid w:val="00CF7CA7"/>
    <w:rsid w:val="00D01234"/>
    <w:rsid w:val="00D045A3"/>
    <w:rsid w:val="00D0530D"/>
    <w:rsid w:val="00D11DE5"/>
    <w:rsid w:val="00D1577A"/>
    <w:rsid w:val="00D15B0F"/>
    <w:rsid w:val="00D16179"/>
    <w:rsid w:val="00D178BF"/>
    <w:rsid w:val="00D22057"/>
    <w:rsid w:val="00D315F3"/>
    <w:rsid w:val="00D31822"/>
    <w:rsid w:val="00D33462"/>
    <w:rsid w:val="00D37870"/>
    <w:rsid w:val="00D37C74"/>
    <w:rsid w:val="00D431AF"/>
    <w:rsid w:val="00D44712"/>
    <w:rsid w:val="00D455F6"/>
    <w:rsid w:val="00D52AAB"/>
    <w:rsid w:val="00D61823"/>
    <w:rsid w:val="00D67A29"/>
    <w:rsid w:val="00D67EFA"/>
    <w:rsid w:val="00D74388"/>
    <w:rsid w:val="00D75D4F"/>
    <w:rsid w:val="00D773D1"/>
    <w:rsid w:val="00D777CE"/>
    <w:rsid w:val="00D8029D"/>
    <w:rsid w:val="00D975BC"/>
    <w:rsid w:val="00DA09E5"/>
    <w:rsid w:val="00DA2BED"/>
    <w:rsid w:val="00DA456E"/>
    <w:rsid w:val="00DA46A6"/>
    <w:rsid w:val="00DB2636"/>
    <w:rsid w:val="00DB4993"/>
    <w:rsid w:val="00DB6A88"/>
    <w:rsid w:val="00DB7622"/>
    <w:rsid w:val="00DB790D"/>
    <w:rsid w:val="00DB7A9F"/>
    <w:rsid w:val="00DC0A07"/>
    <w:rsid w:val="00DC103B"/>
    <w:rsid w:val="00DC1385"/>
    <w:rsid w:val="00DC5F4D"/>
    <w:rsid w:val="00DC61F3"/>
    <w:rsid w:val="00DC7B50"/>
    <w:rsid w:val="00DD25DB"/>
    <w:rsid w:val="00DD2A7D"/>
    <w:rsid w:val="00DD3144"/>
    <w:rsid w:val="00DE00D4"/>
    <w:rsid w:val="00DE0465"/>
    <w:rsid w:val="00DE1915"/>
    <w:rsid w:val="00DE2217"/>
    <w:rsid w:val="00DE4A6A"/>
    <w:rsid w:val="00DF1E7C"/>
    <w:rsid w:val="00E00CF1"/>
    <w:rsid w:val="00E00D65"/>
    <w:rsid w:val="00E026E5"/>
    <w:rsid w:val="00E12747"/>
    <w:rsid w:val="00E235FF"/>
    <w:rsid w:val="00E248FB"/>
    <w:rsid w:val="00E2535B"/>
    <w:rsid w:val="00E338CC"/>
    <w:rsid w:val="00E33E35"/>
    <w:rsid w:val="00E34426"/>
    <w:rsid w:val="00E347CF"/>
    <w:rsid w:val="00E409A5"/>
    <w:rsid w:val="00E46B6A"/>
    <w:rsid w:val="00E6151F"/>
    <w:rsid w:val="00E62B49"/>
    <w:rsid w:val="00E675B2"/>
    <w:rsid w:val="00E71FF5"/>
    <w:rsid w:val="00E742E5"/>
    <w:rsid w:val="00E76A78"/>
    <w:rsid w:val="00E8197D"/>
    <w:rsid w:val="00E8269E"/>
    <w:rsid w:val="00E84233"/>
    <w:rsid w:val="00E86ABF"/>
    <w:rsid w:val="00E953A0"/>
    <w:rsid w:val="00EA0D84"/>
    <w:rsid w:val="00EA344B"/>
    <w:rsid w:val="00EA5F06"/>
    <w:rsid w:val="00EA6566"/>
    <w:rsid w:val="00EB735F"/>
    <w:rsid w:val="00EC1E26"/>
    <w:rsid w:val="00EC37BD"/>
    <w:rsid w:val="00EC60E9"/>
    <w:rsid w:val="00EC717E"/>
    <w:rsid w:val="00ED16C0"/>
    <w:rsid w:val="00ED6BAD"/>
    <w:rsid w:val="00EE272E"/>
    <w:rsid w:val="00EE7D4E"/>
    <w:rsid w:val="00EF03B0"/>
    <w:rsid w:val="00EF098B"/>
    <w:rsid w:val="00EF098E"/>
    <w:rsid w:val="00EF43F9"/>
    <w:rsid w:val="00F0001A"/>
    <w:rsid w:val="00F022FC"/>
    <w:rsid w:val="00F04D75"/>
    <w:rsid w:val="00F0530D"/>
    <w:rsid w:val="00F05842"/>
    <w:rsid w:val="00F06E32"/>
    <w:rsid w:val="00F0779C"/>
    <w:rsid w:val="00F120BD"/>
    <w:rsid w:val="00F307D9"/>
    <w:rsid w:val="00F318FB"/>
    <w:rsid w:val="00F321AE"/>
    <w:rsid w:val="00F335B1"/>
    <w:rsid w:val="00F33A70"/>
    <w:rsid w:val="00F36235"/>
    <w:rsid w:val="00F42C4B"/>
    <w:rsid w:val="00F441A5"/>
    <w:rsid w:val="00F52C32"/>
    <w:rsid w:val="00F52E76"/>
    <w:rsid w:val="00F537B1"/>
    <w:rsid w:val="00F675B1"/>
    <w:rsid w:val="00F7115F"/>
    <w:rsid w:val="00F75C71"/>
    <w:rsid w:val="00F803C3"/>
    <w:rsid w:val="00F80C21"/>
    <w:rsid w:val="00F8417E"/>
    <w:rsid w:val="00F90560"/>
    <w:rsid w:val="00F93320"/>
    <w:rsid w:val="00F9751D"/>
    <w:rsid w:val="00FA1C5D"/>
    <w:rsid w:val="00FA2C01"/>
    <w:rsid w:val="00FA47BD"/>
    <w:rsid w:val="00FB05FA"/>
    <w:rsid w:val="00FB0952"/>
    <w:rsid w:val="00FB10BB"/>
    <w:rsid w:val="00FB2E81"/>
    <w:rsid w:val="00FB3E06"/>
    <w:rsid w:val="00FC3A1C"/>
    <w:rsid w:val="00FD446A"/>
    <w:rsid w:val="00FE39AA"/>
    <w:rsid w:val="00FF10E5"/>
    <w:rsid w:val="00FF3295"/>
    <w:rsid w:val="00FF3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832EBE8-9F37-4026-B545-914C44729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416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0E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97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5">
    <w:name w:val="Знак"/>
    <w:basedOn w:val="a"/>
    <w:rsid w:val="00D975BC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a6">
    <w:name w:val="Normal (Web)"/>
    <w:basedOn w:val="a"/>
    <w:uiPriority w:val="99"/>
    <w:rsid w:val="00EF03B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F03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F03B0"/>
    <w:rPr>
      <w:rFonts w:ascii="Tahoma" w:eastAsia="Times New Roman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2C1BD1"/>
    <w:pPr>
      <w:ind w:left="720"/>
      <w:contextualSpacing/>
    </w:pPr>
  </w:style>
  <w:style w:type="paragraph" w:customStyle="1" w:styleId="ConsPlusNormal">
    <w:name w:val="ConsPlusNormal"/>
    <w:rsid w:val="00823E6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1">
    <w:name w:val="Сетка таблицы1"/>
    <w:basedOn w:val="a1"/>
    <w:next w:val="a3"/>
    <w:uiPriority w:val="39"/>
    <w:rsid w:val="002109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uiPriority w:val="99"/>
    <w:unhideWhenUsed/>
    <w:rsid w:val="009936D7"/>
    <w:rPr>
      <w:color w:val="0000FF" w:themeColor="hyperlink"/>
      <w:u w:val="single"/>
    </w:rPr>
  </w:style>
  <w:style w:type="character" w:customStyle="1" w:styleId="blk1">
    <w:name w:val="blk1"/>
    <w:basedOn w:val="a0"/>
    <w:rsid w:val="00CF6836"/>
    <w:rPr>
      <w:vanish w:val="0"/>
      <w:webHidden w:val="0"/>
      <w:specVanish w:val="0"/>
    </w:rPr>
  </w:style>
  <w:style w:type="character" w:styleId="ab">
    <w:name w:val="annotation reference"/>
    <w:basedOn w:val="a0"/>
    <w:uiPriority w:val="99"/>
    <w:semiHidden/>
    <w:unhideWhenUsed/>
    <w:rsid w:val="006E5899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6E5899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6E5899"/>
    <w:rPr>
      <w:rFonts w:ascii="Calibri" w:eastAsia="Times New Roman" w:hAnsi="Calibri" w:cs="Times New Roman"/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5899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6E5899"/>
    <w:rPr>
      <w:rFonts w:ascii="Calibri" w:eastAsia="Times New Roman" w:hAnsi="Calibri" w:cs="Times New Roman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92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23E33"/>
    <w:rPr>
      <w:rFonts w:ascii="Calibri" w:eastAsia="Times New Roman" w:hAnsi="Calibri" w:cs="Times New Roman"/>
    </w:rPr>
  </w:style>
  <w:style w:type="paragraph" w:styleId="af2">
    <w:name w:val="footer"/>
    <w:basedOn w:val="a"/>
    <w:link w:val="af3"/>
    <w:uiPriority w:val="99"/>
    <w:unhideWhenUsed/>
    <w:rsid w:val="00923E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23E33"/>
    <w:rPr>
      <w:rFonts w:ascii="Calibri" w:eastAsia="Times New Roman" w:hAnsi="Calibri" w:cs="Times New Roman"/>
    </w:rPr>
  </w:style>
  <w:style w:type="table" w:customStyle="1" w:styleId="2">
    <w:name w:val="Сетка таблицы2"/>
    <w:basedOn w:val="a1"/>
    <w:next w:val="a3"/>
    <w:uiPriority w:val="59"/>
    <w:rsid w:val="00B27A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5C7E6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5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142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3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3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83E04C-25FE-4F56-8CE8-F671B4078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1421</Words>
  <Characters>8100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КСП_1</dc:creator>
  <cp:lastModifiedBy>КСП_1</cp:lastModifiedBy>
  <cp:revision>2</cp:revision>
  <cp:lastPrinted>2021-06-16T06:14:00Z</cp:lastPrinted>
  <dcterms:created xsi:type="dcterms:W3CDTF">2022-02-15T06:29:00Z</dcterms:created>
  <dcterms:modified xsi:type="dcterms:W3CDTF">2022-02-15T06:29:00Z</dcterms:modified>
</cp:coreProperties>
</file>