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040B9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D29A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E031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Анненское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муниципальной программы «Благоустройство территории </w:t>
      </w:r>
      <w:r w:rsidR="00E031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Анненское</w:t>
      </w:r>
    </w:p>
    <w:p w:rsidR="009F52E0" w:rsidRPr="002B637F" w:rsidRDefault="009D29A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2021-2025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E03197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D29AF">
        <w:rPr>
          <w:rFonts w:ascii="Times New Roman" w:hAnsi="Times New Roman"/>
          <w:sz w:val="24"/>
          <w:szCs w:val="24"/>
        </w:rPr>
        <w:t>.12</w:t>
      </w:r>
      <w:r w:rsidR="00010FEA">
        <w:rPr>
          <w:rFonts w:ascii="Times New Roman" w:hAnsi="Times New Roman"/>
          <w:sz w:val="24"/>
          <w:szCs w:val="24"/>
        </w:rPr>
        <w:t>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9AF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E03197">
        <w:rPr>
          <w:rFonts w:ascii="Times New Roman" w:hAnsi="Times New Roman"/>
          <w:sz w:val="24"/>
          <w:szCs w:val="24"/>
        </w:rPr>
        <w:t>сельского поселения Анненское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9D29AF" w:rsidRPr="009D29AF">
        <w:rPr>
          <w:rFonts w:ascii="Times New Roman" w:hAnsi="Times New Roman"/>
          <w:sz w:val="24"/>
          <w:szCs w:val="24"/>
        </w:rPr>
        <w:t>Об утверждении муниципальной программы «Благоустройство территории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9D29AF" w:rsidRPr="009D29AF">
        <w:rPr>
          <w:rFonts w:ascii="Times New Roman" w:hAnsi="Times New Roman"/>
          <w:sz w:val="24"/>
          <w:szCs w:val="24"/>
        </w:rPr>
        <w:t xml:space="preserve"> </w:t>
      </w:r>
    </w:p>
    <w:p w:rsidR="002A44E2" w:rsidRDefault="009D29AF" w:rsidP="009D2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9AF">
        <w:rPr>
          <w:rFonts w:ascii="Times New Roman" w:hAnsi="Times New Roman"/>
          <w:sz w:val="24"/>
          <w:szCs w:val="24"/>
        </w:rPr>
        <w:t>на 2021-2025 годы»</w:t>
      </w:r>
      <w:r w:rsidR="0018562F" w:rsidRPr="0018562F">
        <w:rPr>
          <w:rFonts w:ascii="Times New Roman" w:hAnsi="Times New Roman"/>
          <w:sz w:val="24"/>
          <w:szCs w:val="24"/>
        </w:rPr>
        <w:t xml:space="preserve">» </w:t>
      </w:r>
      <w:r w:rsidR="002A44E2"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="002A44E2"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2A44E2" w:rsidRPr="00665EF3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 xml:space="preserve">ципального района, </w:t>
      </w:r>
      <w:r w:rsidRPr="009D29AF">
        <w:rPr>
          <w:rFonts w:ascii="Times New Roman" w:hAnsi="Times New Roman"/>
          <w:sz w:val="24"/>
          <w:szCs w:val="24"/>
        </w:rPr>
        <w:t>на основании заключённого соглашения между Советом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E03197">
        <w:rPr>
          <w:rFonts w:ascii="Times New Roman" w:hAnsi="Times New Roman"/>
          <w:sz w:val="24"/>
          <w:szCs w:val="24"/>
        </w:rPr>
        <w:t>Анненское</w:t>
      </w:r>
      <w:r w:rsidRPr="009D29AF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9D29AF">
        <w:rPr>
          <w:rFonts w:ascii="Times New Roman" w:hAnsi="Times New Roman"/>
          <w:sz w:val="24"/>
          <w:szCs w:val="24"/>
        </w:rPr>
        <w:t xml:space="preserve"> Представительным Собранием </w:t>
      </w:r>
      <w:proofErr w:type="spellStart"/>
      <w:r w:rsidRP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D29AF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>
        <w:rPr>
          <w:rFonts w:ascii="Times New Roman" w:hAnsi="Times New Roman"/>
          <w:sz w:val="24"/>
          <w:szCs w:val="24"/>
        </w:rPr>
        <w:t xml:space="preserve">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</w:t>
      </w:r>
      <w:r w:rsidR="009D29AF">
        <w:rPr>
          <w:rFonts w:ascii="Times New Roman" w:eastAsiaTheme="minorHAnsi" w:hAnsi="Times New Roman"/>
          <w:sz w:val="24"/>
          <w:szCs w:val="24"/>
        </w:rPr>
        <w:t xml:space="preserve">территории, 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9D29AF" w:rsidRPr="009D29AF">
        <w:rPr>
          <w:rFonts w:ascii="Times New Roman" w:hAnsi="Times New Roman"/>
          <w:sz w:val="24"/>
          <w:szCs w:val="24"/>
        </w:rPr>
        <w:t>Благоустройство территории с</w:t>
      </w:r>
      <w:r w:rsidR="00E03197">
        <w:rPr>
          <w:rFonts w:ascii="Times New Roman" w:hAnsi="Times New Roman"/>
          <w:sz w:val="24"/>
          <w:szCs w:val="24"/>
        </w:rPr>
        <w:t>ельского поселения Анненское</w:t>
      </w:r>
      <w:r w:rsidR="009D29AF">
        <w:rPr>
          <w:rFonts w:ascii="Times New Roman" w:hAnsi="Times New Roman"/>
          <w:sz w:val="24"/>
          <w:szCs w:val="24"/>
        </w:rPr>
        <w:t xml:space="preserve"> на 2021-2025 годы</w:t>
      </w:r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>Администрация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>изации муниципальных программ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</w:t>
      </w:r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>министрации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  от 29.07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27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>муниципальных программ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поступил в Ревизионную комиссию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ВМР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E0319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gramStart"/>
      <w:r w:rsidR="00E03197">
        <w:rPr>
          <w:rFonts w:ascii="Times New Roman" w:eastAsiaTheme="minorHAnsi" w:hAnsi="Times New Roman"/>
          <w:sz w:val="24"/>
          <w:szCs w:val="24"/>
        </w:rPr>
        <w:t>Анненское  от</w:t>
      </w:r>
      <w:proofErr w:type="gramEnd"/>
      <w:r w:rsidR="00E03197">
        <w:rPr>
          <w:rFonts w:ascii="Times New Roman" w:eastAsiaTheme="minorHAnsi" w:hAnsi="Times New Roman"/>
          <w:sz w:val="24"/>
          <w:szCs w:val="24"/>
        </w:rPr>
        <w:t xml:space="preserve"> 29.07.2020  № 27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E03197">
        <w:rPr>
          <w:rFonts w:ascii="Times New Roman" w:eastAsiaTheme="minorHAnsi" w:hAnsi="Times New Roman"/>
          <w:sz w:val="24"/>
          <w:szCs w:val="24"/>
        </w:rPr>
        <w:t>ельского поселения Анненское</w:t>
      </w:r>
      <w:r w:rsidR="00506F6A">
        <w:rPr>
          <w:rFonts w:ascii="Times New Roman" w:eastAsiaTheme="minorHAnsi" w:hAnsi="Times New Roman"/>
          <w:sz w:val="24"/>
          <w:szCs w:val="24"/>
        </w:rPr>
        <w:t>».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06F6A" w:rsidRPr="00506F6A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 xml:space="preserve">      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территории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2021-2025 годы»» предлагает упорядочить проводимые мероприятия в области благоустройства территории поселения в одну муниципальную программу. Объем финансирования программы предусмотрен в проекте решения Совета поселения «О бюджете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программы требуют уточнения, расширения и увязку с районной муниципальной программой.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4 и 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Порядка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="00803BD1">
              <w:rPr>
                <w:rFonts w:ascii="Times New Roman" w:hAnsi="Times New Roman"/>
                <w:sz w:val="20"/>
                <w:szCs w:val="20"/>
              </w:rPr>
              <w:t xml:space="preserve">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представлены.</w:t>
            </w:r>
          </w:p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 к программе не содержит планируемый объем привлеченных средств.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E03197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E03197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803BD1" w:rsidRPr="00E0319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E03197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E03197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3B0E8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3B0E86">
        <w:rPr>
          <w:rFonts w:ascii="Times New Roman" w:hAnsi="Times New Roman"/>
          <w:sz w:val="24"/>
          <w:szCs w:val="24"/>
          <w:lang w:eastAsia="ru-RU"/>
        </w:rPr>
        <w:t>Анненское  от</w:t>
      </w:r>
      <w:proofErr w:type="gramEnd"/>
      <w:r w:rsidR="003B0E86">
        <w:rPr>
          <w:rFonts w:ascii="Times New Roman" w:hAnsi="Times New Roman"/>
          <w:sz w:val="24"/>
          <w:szCs w:val="24"/>
          <w:lang w:eastAsia="ru-RU"/>
        </w:rPr>
        <w:t xml:space="preserve"> 29.07.2020  № 27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«Об утверждении Порядка разработки, реализации и оценки эффективности реализации муниципальных программ</w:t>
      </w:r>
      <w:r w:rsidR="003B0E8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</w:p>
    <w:p w:rsidR="00FB1F77" w:rsidRPr="00A13B45" w:rsidRDefault="007B0AC6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направлениям государственной политики, установленным законами и иными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Pr="00A13B45" w:rsidRDefault="00A13B45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</w:t>
      </w:r>
      <w:r w:rsidR="003B0E86">
        <w:rPr>
          <w:rFonts w:ascii="Times New Roman" w:hAnsi="Times New Roman"/>
          <w:color w:val="000000"/>
          <w:sz w:val="24"/>
          <w:szCs w:val="24"/>
          <w:lang w:eastAsia="ru-RU"/>
        </w:rPr>
        <w:t>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 годы", утвержденной постановлением Правительства области от 22 сентября 2017 года № 851 (с изменениями),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B45" w:rsidRDefault="002B637F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sz w:val="24"/>
          <w:szCs w:val="24"/>
        </w:rPr>
        <w:t>и</w:t>
      </w:r>
      <w:r w:rsidR="00A13B45" w:rsidRPr="00A13B45">
        <w:rPr>
          <w:rFonts w:ascii="Times New Roman" w:hAnsi="Times New Roman"/>
          <w:sz w:val="24"/>
          <w:szCs w:val="24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>
        <w:rPr>
          <w:rFonts w:ascii="Times New Roman" w:hAnsi="Times New Roman"/>
          <w:sz w:val="24"/>
          <w:szCs w:val="24"/>
        </w:rPr>
        <w:t xml:space="preserve"> реализации  основных направлений бюджетной и налоговой политики</w:t>
      </w:r>
      <w:r w:rsidR="003B0E86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043FA">
        <w:rPr>
          <w:rFonts w:ascii="Times New Roman" w:hAnsi="Times New Roman"/>
          <w:sz w:val="24"/>
          <w:szCs w:val="24"/>
        </w:rPr>
        <w:t xml:space="preserve"> на 2021 – 2023 годы</w:t>
      </w:r>
      <w:r w:rsidR="00D043FA" w:rsidRP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D043FA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</w:p>
    <w:p w:rsidR="00A13B45" w:rsidRP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3B45" w:rsidRPr="00A13B45">
        <w:rPr>
          <w:rFonts w:ascii="Times New Roman" w:hAnsi="Times New Roman"/>
          <w:sz w:val="24"/>
          <w:szCs w:val="24"/>
        </w:rPr>
        <w:t>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13B45" w:rsidRPr="00A13B45">
        <w:rPr>
          <w:rFonts w:ascii="Times New Roman" w:hAnsi="Times New Roman"/>
          <w:sz w:val="24"/>
          <w:szCs w:val="24"/>
        </w:rPr>
        <w:t>приоритизация</w:t>
      </w:r>
      <w:proofErr w:type="spellEnd"/>
      <w:r w:rsidR="00A13B45" w:rsidRPr="00A13B45">
        <w:rPr>
          <w:rFonts w:ascii="Times New Roman" w:hAnsi="Times New Roman"/>
          <w:sz w:val="24"/>
          <w:szCs w:val="24"/>
        </w:rPr>
        <w:t xml:space="preserve"> и повышение э</w:t>
      </w:r>
      <w:r>
        <w:rPr>
          <w:rFonts w:ascii="Times New Roman" w:hAnsi="Times New Roman"/>
          <w:sz w:val="24"/>
          <w:szCs w:val="24"/>
        </w:rPr>
        <w:t>ффективности бюджетных расходов.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35E2" w:rsidRPr="00D043FA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 xml:space="preserve">ипальной программы: </w:t>
      </w:r>
      <w:r w:rsidR="00D043FA" w:rsidRPr="00D043FA">
        <w:rPr>
          <w:rFonts w:ascii="Times New Roman" w:hAnsi="Times New Roman"/>
          <w:sz w:val="24"/>
          <w:szCs w:val="24"/>
        </w:rPr>
        <w:t>комплексное решение проблем благоустройства по улучшению санитарного и эстетического вида территории</w:t>
      </w:r>
      <w:r w:rsidR="003B0E86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043FA" w:rsidRPr="00D043FA">
        <w:rPr>
          <w:rFonts w:ascii="Times New Roman" w:hAnsi="Times New Roman"/>
          <w:sz w:val="24"/>
          <w:szCs w:val="24"/>
        </w:rPr>
        <w:t>, создание комфортной и безопасной среды проживания на территории сельского поселения.</w:t>
      </w:r>
    </w:p>
    <w:p w:rsidR="00844EFB" w:rsidRDefault="003B0E86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проекта постановления, задачи</w:t>
      </w:r>
      <w:r w:rsidR="00844EFB">
        <w:rPr>
          <w:rFonts w:ascii="Times New Roman" w:hAnsi="Times New Roman"/>
          <w:sz w:val="24"/>
          <w:szCs w:val="24"/>
        </w:rPr>
        <w:t xml:space="preserve"> муниципальной программы:</w:t>
      </w:r>
    </w:p>
    <w:p w:rsidR="003B0E86" w:rsidRPr="003B0E86" w:rsidRDefault="003B0E86" w:rsidP="003B0E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B0E86">
        <w:rPr>
          <w:rFonts w:ascii="Times New Roman" w:hAnsi="Times New Roman"/>
          <w:sz w:val="24"/>
          <w:szCs w:val="24"/>
        </w:rPr>
        <w:tab/>
      </w:r>
      <w:proofErr w:type="gramStart"/>
      <w:r w:rsidRPr="003B0E86">
        <w:rPr>
          <w:rFonts w:ascii="Times New Roman" w:hAnsi="Times New Roman"/>
          <w:sz w:val="24"/>
          <w:szCs w:val="24"/>
        </w:rPr>
        <w:t>проведение  мероприятий</w:t>
      </w:r>
      <w:proofErr w:type="gramEnd"/>
      <w:r w:rsidRPr="003B0E86">
        <w:rPr>
          <w:rFonts w:ascii="Times New Roman" w:hAnsi="Times New Roman"/>
          <w:sz w:val="24"/>
          <w:szCs w:val="24"/>
        </w:rPr>
        <w:t xml:space="preserve"> по благоустройству территории  сельского поселения Анненское и привлечение жителей к участию в решении проблем благоустройства;</w:t>
      </w:r>
    </w:p>
    <w:p w:rsidR="003B0E86" w:rsidRPr="003B0E86" w:rsidRDefault="003B0E86" w:rsidP="003B0E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0E86">
        <w:rPr>
          <w:rFonts w:ascii="Times New Roman" w:hAnsi="Times New Roman"/>
          <w:sz w:val="24"/>
          <w:szCs w:val="24"/>
        </w:rPr>
        <w:t>реконструкция и модернизация уличного освещения, установка светильников в населенных пунктах, снижение затрат на оплату электроэнергии по уличному освещению;</w:t>
      </w:r>
    </w:p>
    <w:p w:rsidR="003B0E86" w:rsidRDefault="003B0E86" w:rsidP="003B0E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0E86">
        <w:rPr>
          <w:rFonts w:ascii="Times New Roman" w:hAnsi="Times New Roman"/>
          <w:sz w:val="24"/>
          <w:szCs w:val="24"/>
        </w:rPr>
        <w:t>выполнение работ по благоустройству и содержанию кладбищ.</w:t>
      </w:r>
    </w:p>
    <w:p w:rsidR="003B0E86" w:rsidRDefault="003B0E86" w:rsidP="003B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Предусмотренные проектом задачи, по сути являются мероприятиями (работами) для достижения поставленной цели.</w:t>
      </w:r>
    </w:p>
    <w:p w:rsidR="00A17D05" w:rsidRDefault="00D043FA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муниципальной программы </w:t>
      </w:r>
      <w:r w:rsidRPr="00A17D05">
        <w:rPr>
          <w:rFonts w:ascii="Times New Roman" w:hAnsi="Times New Roman"/>
          <w:sz w:val="24"/>
          <w:szCs w:val="24"/>
          <w:u w:val="single"/>
        </w:rPr>
        <w:t xml:space="preserve">рекомендуется уточнить расширить, увязать с целями и задачами районной муниципальной </w:t>
      </w:r>
      <w:proofErr w:type="gramStart"/>
      <w:r w:rsidRPr="00A17D05">
        <w:rPr>
          <w:rFonts w:ascii="Times New Roman" w:hAnsi="Times New Roman"/>
          <w:sz w:val="24"/>
          <w:szCs w:val="24"/>
          <w:u w:val="single"/>
        </w:rPr>
        <w:t>программой</w:t>
      </w:r>
      <w:r w:rsidR="00A1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3FA">
        <w:rPr>
          <w:rFonts w:ascii="Times New Roman" w:hAnsi="Times New Roman"/>
          <w:sz w:val="24"/>
          <w:szCs w:val="24"/>
        </w:rPr>
        <w:t>«</w:t>
      </w:r>
      <w:proofErr w:type="gramEnd"/>
      <w:r w:rsidRPr="00D043FA">
        <w:rPr>
          <w:rFonts w:ascii="Times New Roman" w:hAnsi="Times New Roman"/>
          <w:sz w:val="24"/>
          <w:szCs w:val="24"/>
        </w:rPr>
        <w:t>Формирование современ</w:t>
      </w:r>
      <w:r>
        <w:rPr>
          <w:rFonts w:ascii="Times New Roman" w:hAnsi="Times New Roman"/>
          <w:sz w:val="24"/>
          <w:szCs w:val="24"/>
        </w:rPr>
        <w:t>ной городской среды на 2018-2022</w:t>
      </w:r>
      <w:r w:rsidRPr="00D043FA">
        <w:rPr>
          <w:rFonts w:ascii="Times New Roman" w:hAnsi="Times New Roman"/>
          <w:sz w:val="24"/>
          <w:szCs w:val="24"/>
        </w:rPr>
        <w:t xml:space="preserve"> годы»,</w:t>
      </w:r>
      <w:r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Pr="00D043FA">
        <w:rPr>
          <w:rFonts w:ascii="Times New Roman" w:hAnsi="Times New Roman"/>
          <w:sz w:val="24"/>
          <w:szCs w:val="24"/>
        </w:rPr>
        <w:t>28.02.2018 № 218</w:t>
      </w:r>
      <w:r w:rsidR="00A17D05">
        <w:rPr>
          <w:rFonts w:ascii="Times New Roman" w:hAnsi="Times New Roman"/>
          <w:sz w:val="24"/>
          <w:szCs w:val="24"/>
        </w:rPr>
        <w:t>, в том числе:</w:t>
      </w:r>
    </w:p>
    <w:p w:rsidR="00A17D05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>овышение уровня благоустройства дворовых территорий многоквартирных домов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17D05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>овышение уровня благоустройства общественных территорий сельских поселений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7D05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>
        <w:rPr>
          <w:rFonts w:ascii="Times New Roman" w:hAnsi="Times New Roman"/>
          <w:sz w:val="24"/>
          <w:szCs w:val="24"/>
          <w:lang w:eastAsia="ru-RU"/>
        </w:rPr>
        <w:t>уальных предпринимателей;</w:t>
      </w:r>
    </w:p>
    <w:p w:rsidR="006C3599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 xml:space="preserve">овышение уровня </w:t>
      </w:r>
      <w:proofErr w:type="gramStart"/>
      <w:r w:rsidR="006C3599" w:rsidRPr="00A17D05">
        <w:rPr>
          <w:rFonts w:ascii="Times New Roman" w:hAnsi="Times New Roman"/>
          <w:sz w:val="24"/>
          <w:szCs w:val="24"/>
          <w:lang w:eastAsia="ru-RU"/>
        </w:rPr>
        <w:t>благоустройства  индивидуальных</w:t>
      </w:r>
      <w:proofErr w:type="gramEnd"/>
      <w:r w:rsidR="006C3599" w:rsidRPr="00A17D05">
        <w:rPr>
          <w:rFonts w:ascii="Times New Roman" w:hAnsi="Times New Roman"/>
          <w:sz w:val="24"/>
          <w:szCs w:val="24"/>
          <w:lang w:eastAsia="ru-RU"/>
        </w:rPr>
        <w:t xml:space="preserve"> жилых домов и земельных участков, предоставленных для их размещения.</w:t>
      </w:r>
    </w:p>
    <w:p w:rsidR="006C3599" w:rsidRDefault="006C359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03A6" w:rsidRDefault="000F03A6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7D05" w:rsidRDefault="00315EEE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</w:t>
      </w:r>
      <w:r w:rsidR="00A17D05">
        <w:rPr>
          <w:rFonts w:ascii="Times New Roman" w:hAnsi="Times New Roman"/>
          <w:sz w:val="24"/>
          <w:szCs w:val="24"/>
        </w:rPr>
        <w:t xml:space="preserve"> муниципальной</w:t>
      </w:r>
      <w:r w:rsidR="0029756D">
        <w:rPr>
          <w:rFonts w:ascii="Times New Roman" w:hAnsi="Times New Roman"/>
          <w:sz w:val="24"/>
          <w:szCs w:val="24"/>
        </w:rPr>
        <w:t xml:space="preserve"> программы (в паспорте и в характеристике</w:t>
      </w:r>
      <w:proofErr w:type="gramStart"/>
      <w:r w:rsidR="0029756D">
        <w:rPr>
          <w:rFonts w:ascii="Times New Roman" w:hAnsi="Times New Roman"/>
          <w:sz w:val="24"/>
          <w:szCs w:val="24"/>
        </w:rPr>
        <w:t>)</w:t>
      </w:r>
      <w:r w:rsidR="00A1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17D05">
        <w:rPr>
          <w:rFonts w:ascii="Times New Roman" w:hAnsi="Times New Roman"/>
          <w:sz w:val="24"/>
          <w:szCs w:val="24"/>
        </w:rPr>
        <w:t xml:space="preserve">не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  <w:r w:rsidR="00A17D05">
        <w:rPr>
          <w:rFonts w:ascii="Times New Roman" w:hAnsi="Times New Roman"/>
          <w:sz w:val="24"/>
          <w:szCs w:val="24"/>
        </w:rPr>
        <w:t xml:space="preserve"> Целевые показатели </w:t>
      </w:r>
      <w:r w:rsidR="00A17D05" w:rsidRPr="00A17D05">
        <w:rPr>
          <w:rFonts w:ascii="Times New Roman" w:hAnsi="Times New Roman"/>
          <w:sz w:val="24"/>
          <w:szCs w:val="24"/>
          <w:u w:val="single"/>
        </w:rPr>
        <w:t>не имеют количественных характеристик</w:t>
      </w:r>
      <w:r w:rsidR="00A17D05">
        <w:rPr>
          <w:rFonts w:ascii="Times New Roman" w:hAnsi="Times New Roman"/>
          <w:sz w:val="24"/>
          <w:szCs w:val="24"/>
        </w:rPr>
        <w:t xml:space="preserve"> целевого состояния</w:t>
      </w:r>
      <w:r w:rsidR="00A17D05" w:rsidRPr="00A17D05">
        <w:rPr>
          <w:rFonts w:ascii="Times New Roman" w:hAnsi="Times New Roman"/>
          <w:sz w:val="24"/>
          <w:szCs w:val="24"/>
        </w:rPr>
        <w:t xml:space="preserve"> (изменение состояния)</w:t>
      </w:r>
      <w:r w:rsidR="00A17D05">
        <w:rPr>
          <w:rFonts w:ascii="Times New Roman" w:hAnsi="Times New Roman"/>
          <w:sz w:val="24"/>
          <w:szCs w:val="24"/>
        </w:rPr>
        <w:t xml:space="preserve"> уровня.</w:t>
      </w:r>
    </w:p>
    <w:p w:rsidR="00693BDE" w:rsidRDefault="00693BD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9D382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</w:t>
      </w:r>
      <w:r w:rsidR="00B43958">
        <w:rPr>
          <w:rFonts w:ascii="Times New Roman" w:hAnsi="Times New Roman"/>
          <w:sz w:val="24"/>
          <w:szCs w:val="24"/>
        </w:rPr>
        <w:t xml:space="preserve"> целевых показател</w:t>
      </w:r>
      <w:r>
        <w:rPr>
          <w:rFonts w:ascii="Times New Roman" w:hAnsi="Times New Roman"/>
          <w:sz w:val="24"/>
          <w:szCs w:val="24"/>
        </w:rPr>
        <w:t>ей в проекте</w:t>
      </w:r>
      <w:r w:rsidR="00B43958">
        <w:rPr>
          <w:rFonts w:ascii="Times New Roman" w:hAnsi="Times New Roman"/>
          <w:sz w:val="24"/>
          <w:szCs w:val="24"/>
        </w:rPr>
        <w:t xml:space="preserve"> паспорта прогр</w:t>
      </w:r>
      <w:r w:rsidR="00EA2DCB">
        <w:rPr>
          <w:rFonts w:ascii="Times New Roman" w:hAnsi="Times New Roman"/>
          <w:sz w:val="24"/>
          <w:szCs w:val="24"/>
        </w:rPr>
        <w:t>аммы</w:t>
      </w:r>
      <w:r>
        <w:rPr>
          <w:rFonts w:ascii="Times New Roman" w:hAnsi="Times New Roman"/>
          <w:sz w:val="24"/>
          <w:szCs w:val="24"/>
        </w:rPr>
        <w:t xml:space="preserve"> предусмотрено </w:t>
      </w:r>
      <w:r w:rsidR="003B0E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что соответствует информации в Приложениях</w:t>
      </w:r>
      <w:r w:rsidR="00EA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</w:t>
      </w:r>
      <w:r w:rsidR="00965D33">
        <w:rPr>
          <w:rFonts w:ascii="Times New Roman" w:hAnsi="Times New Roman"/>
          <w:sz w:val="24"/>
          <w:szCs w:val="24"/>
        </w:rPr>
        <w:t>.</w:t>
      </w:r>
    </w:p>
    <w:p w:rsidR="00693BDE" w:rsidRDefault="00693BDE" w:rsidP="007A7D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93BDE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разделе 2 Основные о</w:t>
      </w:r>
      <w:r w:rsidR="00693BDE">
        <w:rPr>
          <w:rFonts w:ascii="Times New Roman" w:hAnsi="Times New Roman"/>
          <w:sz w:val="24"/>
          <w:szCs w:val="24"/>
          <w:u w:val="single"/>
        </w:rPr>
        <w:t xml:space="preserve">жидаемые </w:t>
      </w:r>
      <w:r>
        <w:rPr>
          <w:rFonts w:ascii="Times New Roman" w:hAnsi="Times New Roman"/>
          <w:sz w:val="24"/>
          <w:szCs w:val="24"/>
          <w:u w:val="single"/>
        </w:rPr>
        <w:t xml:space="preserve">конечные </w:t>
      </w:r>
      <w:r w:rsidR="00693BDE">
        <w:rPr>
          <w:rFonts w:ascii="Times New Roman" w:hAnsi="Times New Roman"/>
          <w:sz w:val="24"/>
          <w:szCs w:val="24"/>
          <w:u w:val="single"/>
        </w:rPr>
        <w:t>результаты реализации программы в Паспорте муниципальной программы не соответствую</w:t>
      </w:r>
      <w:r>
        <w:rPr>
          <w:rFonts w:ascii="Times New Roman" w:hAnsi="Times New Roman"/>
          <w:sz w:val="24"/>
          <w:szCs w:val="24"/>
          <w:u w:val="single"/>
        </w:rPr>
        <w:t>т целевым показателям</w:t>
      </w:r>
      <w:r w:rsidR="00693BDE">
        <w:rPr>
          <w:rFonts w:ascii="Times New Roman" w:hAnsi="Times New Roman"/>
          <w:sz w:val="24"/>
          <w:szCs w:val="24"/>
          <w:u w:val="single"/>
        </w:rPr>
        <w:t xml:space="preserve"> в Приложениях к программе.</w:t>
      </w:r>
    </w:p>
    <w:p w:rsidR="00693BDE" w:rsidRP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6239" w:rsidRPr="00693BDE" w:rsidRDefault="007A7DC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Предусмотреть е</w:t>
      </w:r>
      <w:r w:rsidR="00693BDE" w:rsidRPr="00693BDE">
        <w:rPr>
          <w:rFonts w:ascii="Times New Roman" w:hAnsi="Times New Roman"/>
          <w:sz w:val="24"/>
          <w:szCs w:val="24"/>
          <w:u w:val="single"/>
        </w:rPr>
        <w:t xml:space="preserve">диницу измерения </w:t>
      </w:r>
      <w:r w:rsidR="00EB57C5" w:rsidRPr="00693BDE">
        <w:rPr>
          <w:rFonts w:ascii="Times New Roman" w:hAnsi="Times New Roman"/>
          <w:sz w:val="24"/>
          <w:szCs w:val="24"/>
          <w:u w:val="single"/>
        </w:rPr>
        <w:t>целевых и</w:t>
      </w:r>
      <w:r w:rsidR="00693BDE" w:rsidRPr="00693BDE">
        <w:rPr>
          <w:rFonts w:ascii="Times New Roman" w:hAnsi="Times New Roman"/>
          <w:sz w:val="24"/>
          <w:szCs w:val="24"/>
          <w:u w:val="single"/>
        </w:rPr>
        <w:t>ндикаторов и показателей программы</w:t>
      </w:r>
      <w:r>
        <w:rPr>
          <w:rFonts w:ascii="Times New Roman" w:hAnsi="Times New Roman"/>
          <w:sz w:val="24"/>
          <w:szCs w:val="24"/>
          <w:u w:val="single"/>
        </w:rPr>
        <w:t xml:space="preserve"> в паспорте программы. </w:t>
      </w:r>
      <w:r w:rsidR="00693BDE" w:rsidRPr="00693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D1C04" w:rsidRDefault="004D1C0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2247BB">
        <w:rPr>
          <w:rFonts w:ascii="Times New Roman" w:hAnsi="Times New Roman"/>
          <w:sz w:val="24"/>
          <w:szCs w:val="24"/>
        </w:rPr>
        <w:t xml:space="preserve"> достижения по всем</w:t>
      </w:r>
      <w:r>
        <w:rPr>
          <w:rFonts w:ascii="Times New Roman" w:hAnsi="Times New Roman"/>
          <w:sz w:val="24"/>
          <w:szCs w:val="24"/>
        </w:rPr>
        <w:t xml:space="preserve"> целевым показателям.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0F03A6">
        <w:rPr>
          <w:rFonts w:ascii="Times New Roman" w:hAnsi="Times New Roman"/>
          <w:sz w:val="24"/>
          <w:szCs w:val="24"/>
        </w:rPr>
        <w:t xml:space="preserve"> цели предусмотрено реализация 3х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0F03A6">
        <w:rPr>
          <w:rFonts w:ascii="Times New Roman" w:hAnsi="Times New Roman"/>
          <w:sz w:val="24"/>
          <w:szCs w:val="24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29756D" w:rsidRDefault="000F03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56D">
        <w:rPr>
          <w:rFonts w:ascii="Times New Roman" w:hAnsi="Times New Roman"/>
          <w:sz w:val="24"/>
          <w:szCs w:val="24"/>
          <w:u w:val="single"/>
        </w:rPr>
        <w:t>В разделе 3</w:t>
      </w:r>
      <w:r>
        <w:rPr>
          <w:rFonts w:ascii="Times New Roman" w:hAnsi="Times New Roman"/>
          <w:sz w:val="24"/>
          <w:szCs w:val="24"/>
        </w:rPr>
        <w:t xml:space="preserve"> «Характеристика основных мероприятий муниципальной программы» </w:t>
      </w:r>
    </w:p>
    <w:p w:rsidR="000F03A6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03A6">
        <w:rPr>
          <w:rFonts w:ascii="Times New Roman" w:hAnsi="Times New Roman"/>
          <w:sz w:val="24"/>
          <w:szCs w:val="24"/>
        </w:rPr>
        <w:t xml:space="preserve">в описании Основного мероприятия 1 следует </w:t>
      </w:r>
      <w:r w:rsidR="000F03A6" w:rsidRPr="0029756D">
        <w:rPr>
          <w:rFonts w:ascii="Times New Roman" w:hAnsi="Times New Roman"/>
          <w:sz w:val="24"/>
          <w:szCs w:val="24"/>
          <w:u w:val="single"/>
        </w:rPr>
        <w:t>расширить описание запланированных работ</w:t>
      </w:r>
      <w:r w:rsidR="007A7DCA">
        <w:rPr>
          <w:rFonts w:ascii="Times New Roman" w:hAnsi="Times New Roman"/>
          <w:sz w:val="24"/>
          <w:szCs w:val="24"/>
          <w:u w:val="single"/>
        </w:rPr>
        <w:t xml:space="preserve"> в пункте 2</w:t>
      </w:r>
      <w:r>
        <w:rPr>
          <w:rFonts w:ascii="Times New Roman" w:hAnsi="Times New Roman"/>
          <w:sz w:val="24"/>
          <w:szCs w:val="24"/>
        </w:rPr>
        <w:t>;</w:t>
      </w:r>
    </w:p>
    <w:p w:rsidR="0029756D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</w:t>
      </w:r>
      <w:r w:rsidR="007A7DCA">
        <w:rPr>
          <w:rFonts w:ascii="Times New Roman" w:hAnsi="Times New Roman"/>
          <w:sz w:val="24"/>
          <w:szCs w:val="24"/>
        </w:rPr>
        <w:t>енование Основного мероприятия 2</w:t>
      </w:r>
      <w:r>
        <w:rPr>
          <w:rFonts w:ascii="Times New Roman" w:hAnsi="Times New Roman"/>
          <w:sz w:val="24"/>
          <w:szCs w:val="24"/>
        </w:rPr>
        <w:t xml:space="preserve"> следует уточнить</w:t>
      </w:r>
      <w:r w:rsidR="007A7DCA">
        <w:rPr>
          <w:rFonts w:ascii="Times New Roman" w:hAnsi="Times New Roman"/>
          <w:sz w:val="24"/>
          <w:szCs w:val="24"/>
        </w:rPr>
        <w:t>, исключить информацию об опл</w:t>
      </w:r>
      <w:r w:rsidR="00E040B9">
        <w:rPr>
          <w:rFonts w:ascii="Times New Roman" w:hAnsi="Times New Roman"/>
          <w:sz w:val="24"/>
          <w:szCs w:val="24"/>
        </w:rPr>
        <w:t>ате,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040B9">
        <w:rPr>
          <w:rFonts w:ascii="Times New Roman" w:hAnsi="Times New Roman"/>
          <w:sz w:val="24"/>
          <w:szCs w:val="24"/>
        </w:rPr>
        <w:t xml:space="preserve">увязать с целевыми показателями </w:t>
      </w:r>
      <w:r>
        <w:rPr>
          <w:rFonts w:ascii="Times New Roman" w:hAnsi="Times New Roman"/>
          <w:sz w:val="24"/>
          <w:szCs w:val="24"/>
        </w:rPr>
        <w:t>и</w:t>
      </w:r>
      <w:r w:rsidR="00E040B9">
        <w:rPr>
          <w:rFonts w:ascii="Times New Roman" w:hAnsi="Times New Roman"/>
          <w:sz w:val="24"/>
          <w:szCs w:val="24"/>
        </w:rPr>
        <w:t xml:space="preserve"> далее</w:t>
      </w:r>
      <w:r>
        <w:rPr>
          <w:rFonts w:ascii="Times New Roman" w:hAnsi="Times New Roman"/>
          <w:sz w:val="24"/>
          <w:szCs w:val="24"/>
        </w:rPr>
        <w:t xml:space="preserve"> привести к единообразию с Приложением 3.</w:t>
      </w:r>
    </w:p>
    <w:p w:rsidR="0029756D" w:rsidRDefault="0029756D" w:rsidP="00E04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 2021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 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E04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1414,0 </w:t>
      </w:r>
      <w:proofErr w:type="spellStart"/>
      <w:r w:rsidR="00E040B9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E04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2022 год 1325,5 </w:t>
      </w:r>
      <w:proofErr w:type="spellStart"/>
      <w:r w:rsidR="00E040B9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E040B9">
        <w:rPr>
          <w:rFonts w:ascii="Times New Roman" w:hAnsi="Times New Roman"/>
          <w:color w:val="000000"/>
          <w:sz w:val="24"/>
          <w:szCs w:val="24"/>
          <w:lang w:eastAsia="ru-RU"/>
        </w:rPr>
        <w:t>, на 2023 год 1325,5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2247BB">
        <w:rPr>
          <w:rFonts w:ascii="Times New Roman" w:hAnsi="Times New Roman"/>
          <w:sz w:val="24"/>
          <w:szCs w:val="24"/>
        </w:rPr>
        <w:t>ция мероприятий программы в 2021 – 2025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2247BB">
        <w:rPr>
          <w:rFonts w:ascii="Times New Roman" w:hAnsi="Times New Roman"/>
          <w:sz w:val="24"/>
          <w:szCs w:val="24"/>
        </w:rPr>
        <w:t>средств</w:t>
      </w:r>
      <w:r w:rsidR="008A106C">
        <w:rPr>
          <w:rFonts w:ascii="Times New Roman" w:hAnsi="Times New Roman"/>
          <w:sz w:val="24"/>
          <w:szCs w:val="24"/>
        </w:rPr>
        <w:t xml:space="preserve"> бюджета</w:t>
      </w:r>
      <w:r w:rsidR="002247BB">
        <w:rPr>
          <w:rFonts w:ascii="Times New Roman" w:hAnsi="Times New Roman"/>
          <w:sz w:val="24"/>
          <w:szCs w:val="24"/>
        </w:rPr>
        <w:t xml:space="preserve"> поселения</w:t>
      </w:r>
      <w:r w:rsidR="008A106C">
        <w:rPr>
          <w:rFonts w:ascii="Times New Roman" w:hAnsi="Times New Roman"/>
          <w:sz w:val="24"/>
          <w:szCs w:val="24"/>
        </w:rPr>
        <w:t>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E040B9">
        <w:rPr>
          <w:rFonts w:ascii="Times New Roman" w:hAnsi="Times New Roman"/>
          <w:sz w:val="24"/>
          <w:szCs w:val="24"/>
        </w:rPr>
        <w:t xml:space="preserve"> и бюджета поселения</w:t>
      </w:r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2247BB">
        <w:rPr>
          <w:rFonts w:ascii="Times New Roman" w:hAnsi="Times New Roman"/>
          <w:sz w:val="24"/>
          <w:szCs w:val="24"/>
        </w:rPr>
        <w:t>, о чем в проекте (в описательной части) муниципальной программы не упоминается.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>Администрации</w:t>
      </w:r>
      <w:r w:rsidR="00E040B9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территории сельского поселения </w:t>
      </w:r>
      <w:r w:rsidR="00E040B9">
        <w:rPr>
          <w:rFonts w:ascii="Times New Roman" w:hAnsi="Times New Roman"/>
          <w:sz w:val="24"/>
          <w:szCs w:val="24"/>
        </w:rPr>
        <w:t>Анненское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на 2021-2025 годы»»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lastRenderedPageBreak/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замечания,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F80C21" w:rsidRPr="00096959">
        <w:rPr>
          <w:rFonts w:ascii="Times New Roman" w:hAnsi="Times New Roman"/>
          <w:sz w:val="24"/>
          <w:szCs w:val="24"/>
        </w:rPr>
        <w:t xml:space="preserve">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0E86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A7DCA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03197"/>
    <w:rsid w:val="00E040B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DA12-9753-41F0-B6F2-C9955857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2020-12-22T10:16:00Z</dcterms:created>
  <dcterms:modified xsi:type="dcterms:W3CDTF">2020-12-22T10:16:00Z</dcterms:modified>
</cp:coreProperties>
</file>