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7" w:rsidRDefault="007843B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9F98B5" wp14:editId="48B21711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EE141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394A83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94A83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394A83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394A83">
        <w:rPr>
          <w:rFonts w:ascii="Times New Roman" w:hAnsi="Times New Roman"/>
          <w:b/>
          <w:sz w:val="28"/>
          <w:szCs w:val="28"/>
        </w:rPr>
        <w:t xml:space="preserve"> Совета</w:t>
      </w:r>
      <w:r w:rsidRPr="00394A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b/>
          <w:sz w:val="28"/>
          <w:szCs w:val="28"/>
        </w:rPr>
        <w:t>Алмозерское</w:t>
      </w:r>
    </w:p>
    <w:p w:rsidR="009F52E0" w:rsidRPr="00394A83" w:rsidRDefault="009F52E0" w:rsidP="00F641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BD562E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24F10" w:rsidRPr="00394A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F24F10" w:rsidRPr="00394A83">
        <w:rPr>
          <w:rFonts w:ascii="Times New Roman" w:hAnsi="Times New Roman"/>
          <w:sz w:val="28"/>
          <w:szCs w:val="28"/>
        </w:rPr>
        <w:t>.20</w:t>
      </w:r>
      <w:r w:rsidR="00436353" w:rsidRPr="00394A83">
        <w:rPr>
          <w:rFonts w:ascii="Times New Roman" w:hAnsi="Times New Roman"/>
          <w:sz w:val="28"/>
          <w:szCs w:val="28"/>
        </w:rPr>
        <w:t>20</w:t>
      </w:r>
      <w:r w:rsidR="009F52E0" w:rsidRPr="00394A8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C918E0" w:rsidRPr="00394A83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394A83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394A83" w:rsidRDefault="009F52E0" w:rsidP="004C1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608" w:rsidRDefault="009F52E0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</w:t>
      </w:r>
      <w:r w:rsidR="00EC0465" w:rsidRPr="00394A83">
        <w:rPr>
          <w:rFonts w:ascii="Times New Roman" w:hAnsi="Times New Roman"/>
          <w:sz w:val="28"/>
          <w:szCs w:val="28"/>
        </w:rPr>
        <w:t xml:space="preserve">       </w:t>
      </w:r>
      <w:r w:rsidRPr="00394A83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394A83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394A83">
        <w:rPr>
          <w:rFonts w:ascii="Times New Roman" w:hAnsi="Times New Roman"/>
          <w:sz w:val="28"/>
          <w:szCs w:val="28"/>
        </w:rPr>
        <w:t>проект решения</w:t>
      </w:r>
      <w:r w:rsidRPr="00394A83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</w:t>
      </w:r>
      <w:r w:rsidR="00F24F10" w:rsidRPr="00394A83">
        <w:rPr>
          <w:rFonts w:ascii="Times New Roman" w:hAnsi="Times New Roman"/>
          <w:sz w:val="28"/>
          <w:szCs w:val="28"/>
        </w:rPr>
        <w:t xml:space="preserve">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="00F24F10" w:rsidRPr="00394A83">
        <w:rPr>
          <w:rFonts w:ascii="Times New Roman" w:hAnsi="Times New Roman"/>
          <w:sz w:val="28"/>
          <w:szCs w:val="28"/>
        </w:rPr>
        <w:t xml:space="preserve"> от </w:t>
      </w:r>
      <w:r w:rsidR="00436353" w:rsidRPr="00394A83">
        <w:rPr>
          <w:rFonts w:ascii="Times New Roman" w:hAnsi="Times New Roman"/>
          <w:sz w:val="28"/>
          <w:szCs w:val="28"/>
        </w:rPr>
        <w:t>09.12.2</w:t>
      </w:r>
      <w:r w:rsidR="00F24F10" w:rsidRPr="00394A83">
        <w:rPr>
          <w:rFonts w:ascii="Times New Roman" w:hAnsi="Times New Roman"/>
          <w:sz w:val="28"/>
          <w:szCs w:val="28"/>
        </w:rPr>
        <w:t>01</w:t>
      </w:r>
      <w:r w:rsidR="00436353" w:rsidRPr="00394A83">
        <w:rPr>
          <w:rFonts w:ascii="Times New Roman" w:hAnsi="Times New Roman"/>
          <w:sz w:val="28"/>
          <w:szCs w:val="28"/>
        </w:rPr>
        <w:t>9 №109</w:t>
      </w:r>
      <w:r w:rsidR="00833324" w:rsidRPr="00394A83">
        <w:rPr>
          <w:rFonts w:ascii="Times New Roman" w:hAnsi="Times New Roman"/>
          <w:sz w:val="28"/>
          <w:szCs w:val="28"/>
        </w:rPr>
        <w:t xml:space="preserve">» </w:t>
      </w:r>
      <w:r w:rsidRPr="00394A8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436353" w:rsidRPr="00394A83">
        <w:rPr>
          <w:rFonts w:ascii="Times New Roman" w:hAnsi="Times New Roman"/>
          <w:sz w:val="28"/>
          <w:szCs w:val="28"/>
        </w:rPr>
        <w:t xml:space="preserve"> на 2020 год</w:t>
      </w:r>
      <w:r w:rsidRPr="00394A83">
        <w:rPr>
          <w:rFonts w:ascii="Times New Roman" w:hAnsi="Times New Roman"/>
          <w:sz w:val="28"/>
          <w:szCs w:val="28"/>
        </w:rPr>
        <w:t>.</w:t>
      </w:r>
    </w:p>
    <w:p w:rsidR="00F537D9" w:rsidRDefault="00F537D9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>
        <w:rPr>
          <w:rFonts w:ascii="Times New Roman" w:hAnsi="Times New Roman"/>
          <w:sz w:val="28"/>
          <w:szCs w:val="28"/>
        </w:rPr>
        <w:t xml:space="preserve"> расходов бюджета</w:t>
      </w:r>
      <w:r w:rsidRPr="00F537D9">
        <w:rPr>
          <w:rFonts w:ascii="Times New Roman" w:hAnsi="Times New Roman"/>
          <w:sz w:val="28"/>
          <w:szCs w:val="28"/>
        </w:rPr>
        <w:t xml:space="preserve">.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F537D9" w:rsidRPr="00490AC1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 w:rsidRPr="00490AC1">
        <w:rPr>
          <w:rFonts w:ascii="Times New Roman" w:hAnsi="Times New Roman"/>
          <w:sz w:val="28"/>
          <w:szCs w:val="28"/>
        </w:rPr>
        <w:t>Предлагается утвердить на 2020 год:</w:t>
      </w:r>
    </w:p>
    <w:p w:rsidR="00F537D9" w:rsidRPr="00490AC1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490AC1" w:rsidRPr="00490AC1">
        <w:rPr>
          <w:rFonts w:ascii="Times New Roman" w:hAnsi="Times New Roman"/>
          <w:sz w:val="28"/>
          <w:szCs w:val="28"/>
        </w:rPr>
        <w:t>6330,8</w:t>
      </w:r>
      <w:r w:rsidRPr="00490AC1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37D9" w:rsidRPr="00490AC1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568CC" w:rsidRPr="00490AC1">
        <w:rPr>
          <w:rFonts w:ascii="Times New Roman" w:hAnsi="Times New Roman"/>
          <w:sz w:val="28"/>
          <w:szCs w:val="28"/>
        </w:rPr>
        <w:t>6</w:t>
      </w:r>
      <w:r w:rsidR="00490AC1" w:rsidRPr="00490AC1">
        <w:rPr>
          <w:rFonts w:ascii="Times New Roman" w:hAnsi="Times New Roman"/>
          <w:sz w:val="28"/>
          <w:szCs w:val="28"/>
        </w:rPr>
        <w:t>539,8</w:t>
      </w:r>
      <w:r w:rsidRPr="00490AC1">
        <w:rPr>
          <w:rFonts w:ascii="Times New Roman" w:hAnsi="Times New Roman"/>
          <w:sz w:val="28"/>
          <w:szCs w:val="28"/>
        </w:rPr>
        <w:t xml:space="preserve"> тыс. рублей;</w:t>
      </w:r>
    </w:p>
    <w:p w:rsid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дефицит бюджета поселения в сумме </w:t>
      </w:r>
      <w:r w:rsidR="00490AC1" w:rsidRPr="00490AC1">
        <w:rPr>
          <w:rFonts w:ascii="Times New Roman" w:hAnsi="Times New Roman"/>
          <w:sz w:val="28"/>
          <w:szCs w:val="28"/>
        </w:rPr>
        <w:t>209,0</w:t>
      </w:r>
      <w:r w:rsidRPr="00490AC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37D9" w:rsidRP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P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E71301" w:rsidRPr="00E71301" w:rsidTr="00E71301">
        <w:trPr>
          <w:trHeight w:val="1090"/>
        </w:trPr>
        <w:tc>
          <w:tcPr>
            <w:tcW w:w="3369" w:type="dxa"/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A568CC" w:rsidRPr="00A568CC" w:rsidTr="00037CEB">
        <w:trPr>
          <w:trHeight w:val="222"/>
        </w:trPr>
        <w:tc>
          <w:tcPr>
            <w:tcW w:w="3369" w:type="dxa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6,7</w:t>
            </w:r>
            <w:r w:rsidR="00A568CC"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568CC" w:rsidRPr="00A568CC" w:rsidTr="00037CEB">
        <w:trPr>
          <w:trHeight w:val="270"/>
        </w:trPr>
        <w:tc>
          <w:tcPr>
            <w:tcW w:w="3369" w:type="dxa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4,8</w:t>
            </w:r>
            <w:r w:rsidR="00A568CC" w:rsidRPr="00A568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568CC" w:rsidRPr="00A568CC" w:rsidTr="00490AC1">
        <w:trPr>
          <w:trHeight w:val="194"/>
        </w:trPr>
        <w:tc>
          <w:tcPr>
            <w:tcW w:w="3369" w:type="dxa"/>
            <w:tcBorders>
              <w:bottom w:val="single" w:sz="4" w:space="0" w:color="auto"/>
            </w:tcBorders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93052C" w:rsidRDefault="00F91081" w:rsidP="00F910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05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5628,8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93052C" w:rsidRDefault="00F91081" w:rsidP="00F910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05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6028,8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93052C" w:rsidRDefault="00F91081" w:rsidP="00F910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05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93052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05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93052C" w:rsidRDefault="00F91081" w:rsidP="00F910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05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95,2</w:t>
            </w:r>
            <w:r w:rsidR="00A568CC" w:rsidRPr="009305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568CC" w:rsidRPr="00A568CC" w:rsidTr="00490AC1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A568CC"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</w:t>
            </w:r>
            <w:r w:rsidR="00A568CC"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6,2</w:t>
            </w: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A568CC" w:rsidRPr="00A568CC" w:rsidTr="00D31592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  <w:r w:rsidR="00A568CC"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7,9%</w:t>
            </w:r>
          </w:p>
        </w:tc>
      </w:tr>
      <w:tr w:rsidR="00A568CC" w:rsidRPr="00A568CC" w:rsidTr="00D31592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A568CC" w:rsidRPr="00A568CC" w:rsidTr="00037CEB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7,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A568CC" w:rsidRPr="00A568CC" w:rsidTr="00037CEB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A568CC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 w:rsidR="00A568CC"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3,7</w:t>
            </w:r>
            <w:r w:rsidR="00A568CC"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A568CC" w:rsidRPr="00A568CC" w:rsidTr="00037CEB">
        <w:trPr>
          <w:trHeight w:val="24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E71301" w:rsidRDefault="00A568CC" w:rsidP="00A568C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F91081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- 27,6</w:t>
            </w:r>
            <w:r w:rsidR="00A568CC"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8CC" w:rsidRPr="00A568CC" w:rsidRDefault="00A568CC" w:rsidP="00F91081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</w:t>
            </w:r>
            <w:r w:rsidR="00F910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A568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E71301" w:rsidRDefault="00E71301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62E" w:rsidRDefault="00F537D9" w:rsidP="00F537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 w:rsidR="00BD562E">
        <w:rPr>
          <w:rFonts w:ascii="Times New Roman" w:hAnsi="Times New Roman"/>
          <w:sz w:val="28"/>
          <w:szCs w:val="28"/>
        </w:rPr>
        <w:t>400,0</w:t>
      </w:r>
      <w:r w:rsidR="00A568CC"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 w:rsidR="00BD562E">
        <w:rPr>
          <w:rFonts w:ascii="Times New Roman" w:hAnsi="Times New Roman"/>
          <w:sz w:val="28"/>
          <w:szCs w:val="28"/>
        </w:rPr>
        <w:t>6,7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</w:t>
      </w:r>
      <w:r w:rsidR="00BD562E">
        <w:rPr>
          <w:rFonts w:ascii="Times New Roman" w:hAnsi="Times New Roman"/>
          <w:sz w:val="28"/>
          <w:szCs w:val="28"/>
        </w:rPr>
        <w:t>.</w:t>
      </w:r>
    </w:p>
    <w:p w:rsidR="00F537D9" w:rsidRPr="0094636D" w:rsidRDefault="00BD562E" w:rsidP="00BD562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Дотации на сбалансированность бюджета увеличатся на 400,0 тыс. рублей. Уточнены объемы безвозмездных поступлений</w:t>
      </w:r>
      <w:r w:rsidRPr="005113D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безвозмездные поступления от негосударственных организаций увеличены на 5,0 тыс. рублей, прочие безвозмездные поступления (поступления от денежных пожертвований, предоставляемых физическими лицами получателям средств бюджетов сельских поселений) уменьшены на 5,0 тыс. рублей. О</w:t>
      </w:r>
      <w:r w:rsidR="00F537D9" w:rsidRPr="0094636D">
        <w:rPr>
          <w:rFonts w:ascii="Times New Roman" w:hAnsi="Times New Roman"/>
          <w:sz w:val="28"/>
          <w:szCs w:val="28"/>
        </w:rPr>
        <w:t xml:space="preserve">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6028,8</w:t>
      </w:r>
      <w:r w:rsidR="00F537D9" w:rsidRPr="0094636D">
        <w:rPr>
          <w:rFonts w:ascii="Times New Roman" w:hAnsi="Times New Roman"/>
          <w:sz w:val="28"/>
          <w:szCs w:val="28"/>
        </w:rPr>
        <w:t xml:space="preserve"> тыс. рублей</w:t>
      </w:r>
      <w:r w:rsidR="00A568CC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>95,2</w:t>
      </w:r>
      <w:r w:rsidR="00A568CC">
        <w:rPr>
          <w:rFonts w:ascii="Times New Roman" w:hAnsi="Times New Roman"/>
          <w:sz w:val="28"/>
          <w:szCs w:val="28"/>
        </w:rPr>
        <w:t xml:space="preserve"> % от общего объема доходов. </w:t>
      </w:r>
      <w:r w:rsidR="00F537D9" w:rsidRPr="0094636D">
        <w:rPr>
          <w:rFonts w:ascii="Times New Roman" w:hAnsi="Times New Roman"/>
          <w:sz w:val="28"/>
          <w:szCs w:val="28"/>
        </w:rPr>
        <w:t xml:space="preserve">Доля </w:t>
      </w:r>
      <w:r w:rsidR="007B414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F537D9" w:rsidRPr="0094636D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4,8</w:t>
      </w:r>
      <w:r w:rsidR="00F537D9" w:rsidRPr="0094636D">
        <w:rPr>
          <w:rFonts w:ascii="Times New Roman" w:hAnsi="Times New Roman"/>
          <w:sz w:val="28"/>
          <w:szCs w:val="28"/>
        </w:rPr>
        <w:t xml:space="preserve"> %.</w:t>
      </w:r>
    </w:p>
    <w:p w:rsid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301" w:rsidRPr="00E71301" w:rsidRDefault="00195C2C" w:rsidP="00DD7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 w:rsidR="0093052C">
        <w:rPr>
          <w:rFonts w:ascii="Times New Roman" w:hAnsi="Times New Roman"/>
          <w:sz w:val="28"/>
          <w:szCs w:val="28"/>
        </w:rPr>
        <w:t>455,5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93052C">
        <w:rPr>
          <w:rFonts w:ascii="Times New Roman" w:hAnsi="Times New Roman"/>
          <w:sz w:val="28"/>
          <w:szCs w:val="28"/>
        </w:rPr>
        <w:t xml:space="preserve">7,5 </w:t>
      </w:r>
      <w:r>
        <w:rPr>
          <w:rFonts w:ascii="Times New Roman" w:hAnsi="Times New Roman"/>
          <w:sz w:val="28"/>
          <w:szCs w:val="28"/>
        </w:rPr>
        <w:t xml:space="preserve">%) и составит </w:t>
      </w:r>
      <w:r w:rsidR="0083611B">
        <w:rPr>
          <w:rFonts w:ascii="Times New Roman" w:hAnsi="Times New Roman"/>
          <w:sz w:val="28"/>
          <w:szCs w:val="28"/>
        </w:rPr>
        <w:t>6</w:t>
      </w:r>
      <w:r w:rsidR="0093052C">
        <w:rPr>
          <w:rFonts w:ascii="Times New Roman" w:hAnsi="Times New Roman"/>
          <w:sz w:val="28"/>
          <w:szCs w:val="28"/>
        </w:rPr>
        <w:t>539,8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E71301" w:rsidRDefault="00E71301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BF0" w:rsidRDefault="00195C2C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на </w:t>
      </w:r>
      <w:r w:rsidR="00D65C13">
        <w:rPr>
          <w:rFonts w:ascii="Times New Roman" w:hAnsi="Times New Roman"/>
          <w:sz w:val="28"/>
          <w:szCs w:val="28"/>
        </w:rPr>
        <w:t xml:space="preserve">391,1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65C13">
        <w:rPr>
          <w:rFonts w:ascii="Times New Roman" w:hAnsi="Times New Roman"/>
          <w:sz w:val="28"/>
          <w:szCs w:val="28"/>
        </w:rPr>
        <w:t>14,5</w:t>
      </w:r>
      <w:r w:rsidR="00A31BF0">
        <w:rPr>
          <w:rFonts w:ascii="Times New Roman" w:hAnsi="Times New Roman"/>
          <w:sz w:val="28"/>
          <w:szCs w:val="28"/>
        </w:rPr>
        <w:t xml:space="preserve"> </w:t>
      </w:r>
      <w:r w:rsidR="0083611B">
        <w:rPr>
          <w:rFonts w:ascii="Times New Roman" w:hAnsi="Times New Roman"/>
          <w:sz w:val="28"/>
          <w:szCs w:val="28"/>
        </w:rPr>
        <w:t>%</w:t>
      </w:r>
      <w:r w:rsidR="00A31BF0">
        <w:rPr>
          <w:rFonts w:ascii="Times New Roman" w:hAnsi="Times New Roman"/>
          <w:sz w:val="28"/>
          <w:szCs w:val="28"/>
        </w:rPr>
        <w:t>, в том числе</w:t>
      </w:r>
      <w:r w:rsidR="00A31BF0" w:rsidRPr="00A31BF0">
        <w:rPr>
          <w:rFonts w:ascii="Times New Roman" w:hAnsi="Times New Roman"/>
          <w:sz w:val="28"/>
          <w:szCs w:val="28"/>
        </w:rPr>
        <w:t>:</w:t>
      </w:r>
    </w:p>
    <w:p w:rsidR="00D65C13" w:rsidRPr="00D65C13" w:rsidRDefault="00D65C13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</w:t>
      </w:r>
      <w:r w:rsidRPr="00D65C13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5C13">
        <w:rPr>
          <w:rFonts w:ascii="Times New Roman" w:hAnsi="Times New Roman"/>
          <w:sz w:val="28"/>
          <w:szCs w:val="28"/>
        </w:rPr>
        <w:t xml:space="preserve">расходы уменьшатся на 15,0 тыс. рублей </w:t>
      </w:r>
      <w:r>
        <w:rPr>
          <w:rFonts w:ascii="Times New Roman" w:hAnsi="Times New Roman"/>
          <w:sz w:val="28"/>
          <w:szCs w:val="28"/>
        </w:rPr>
        <w:t>(расходы на выплаты Главы поселения)</w:t>
      </w:r>
      <w:r w:rsidRPr="00D65C13">
        <w:rPr>
          <w:rFonts w:ascii="Times New Roman" w:hAnsi="Times New Roman"/>
          <w:sz w:val="28"/>
          <w:szCs w:val="28"/>
        </w:rPr>
        <w:t>;</w:t>
      </w:r>
    </w:p>
    <w:p w:rsidR="00D65C13" w:rsidRDefault="00A31BF0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5C13">
        <w:rPr>
          <w:rFonts w:ascii="Times New Roman" w:hAnsi="Times New Roman"/>
          <w:sz w:val="28"/>
          <w:szCs w:val="28"/>
        </w:rPr>
        <w:t>п</w:t>
      </w:r>
      <w:r w:rsidR="0083611B">
        <w:rPr>
          <w:rFonts w:ascii="Times New Roman" w:hAnsi="Times New Roman"/>
          <w:sz w:val="28"/>
          <w:szCs w:val="28"/>
        </w:rPr>
        <w:t>о под</w:t>
      </w:r>
      <w:r w:rsidR="0083611B" w:rsidRPr="0094636D">
        <w:rPr>
          <w:rFonts w:ascii="Times New Roman" w:hAnsi="Times New Roman"/>
          <w:sz w:val="28"/>
          <w:szCs w:val="28"/>
        </w:rPr>
        <w:t>раздел</w:t>
      </w:r>
      <w:r w:rsidR="0083611B">
        <w:rPr>
          <w:rFonts w:ascii="Times New Roman" w:hAnsi="Times New Roman"/>
          <w:sz w:val="28"/>
          <w:szCs w:val="28"/>
        </w:rPr>
        <w:t xml:space="preserve">у </w:t>
      </w:r>
      <w:r w:rsidR="0083611B" w:rsidRPr="003B17B7">
        <w:rPr>
          <w:rFonts w:ascii="Times New Roman" w:hAnsi="Times New Roman"/>
          <w:i/>
          <w:sz w:val="28"/>
          <w:szCs w:val="28"/>
        </w:rPr>
        <w:t>0104 «</w:t>
      </w:r>
      <w:r w:rsidR="0083611B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83611B" w:rsidRPr="0094636D">
        <w:rPr>
          <w:rFonts w:ascii="Times New Roman" w:hAnsi="Times New Roman"/>
          <w:sz w:val="28"/>
          <w:szCs w:val="28"/>
        </w:rPr>
        <w:t>»</w:t>
      </w:r>
      <w:r w:rsidR="0083611B">
        <w:rPr>
          <w:rFonts w:ascii="Times New Roman" w:hAnsi="Times New Roman"/>
          <w:sz w:val="28"/>
          <w:szCs w:val="28"/>
        </w:rPr>
        <w:t xml:space="preserve"> </w:t>
      </w:r>
      <w:r w:rsidR="00D65C13">
        <w:rPr>
          <w:rFonts w:ascii="Times New Roman" w:hAnsi="Times New Roman"/>
          <w:sz w:val="28"/>
          <w:szCs w:val="28"/>
        </w:rPr>
        <w:t>расходы увеличатся на 404,2 тыс. рублей (+23,1%)</w:t>
      </w:r>
      <w:r w:rsidR="00D65C13" w:rsidRPr="00D65C13">
        <w:rPr>
          <w:rFonts w:ascii="Times New Roman" w:hAnsi="Times New Roman"/>
          <w:sz w:val="28"/>
          <w:szCs w:val="28"/>
        </w:rPr>
        <w:t>:</w:t>
      </w:r>
      <w:r w:rsidR="00D65C13">
        <w:rPr>
          <w:rFonts w:ascii="Times New Roman" w:hAnsi="Times New Roman"/>
          <w:sz w:val="28"/>
          <w:szCs w:val="28"/>
        </w:rPr>
        <w:t xml:space="preserve"> на 50,0 тыс. рублей уменьшатся расходы на выплаты персоналу, на 461,9 тыс. рублей увеличатся расходы на закупки (приобретение автомобиля для нужд администрации</w:t>
      </w:r>
      <w:r w:rsidR="00490AC1">
        <w:rPr>
          <w:rFonts w:ascii="Times New Roman" w:hAnsi="Times New Roman"/>
          <w:sz w:val="28"/>
          <w:szCs w:val="28"/>
        </w:rPr>
        <w:t xml:space="preserve"> 400,0 тыс. рублей за счет дотации на сбалансированность</w:t>
      </w:r>
      <w:r w:rsidR="00D65C13">
        <w:rPr>
          <w:rFonts w:ascii="Times New Roman" w:hAnsi="Times New Roman"/>
          <w:sz w:val="28"/>
          <w:szCs w:val="28"/>
        </w:rPr>
        <w:t>, ГСМ, публикация НПА), на 7,8 тыс. рублей уменьшатся расходы на уплату налогов, сборов, иных платежей.</w:t>
      </w:r>
    </w:p>
    <w:p w:rsidR="00815AB3" w:rsidRDefault="006A2CC0" w:rsidP="00815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BF0">
        <w:rPr>
          <w:rFonts w:ascii="Times New Roman" w:hAnsi="Times New Roman"/>
          <w:sz w:val="28"/>
          <w:szCs w:val="28"/>
        </w:rPr>
        <w:t>по подразделу 0113 «Друг</w:t>
      </w:r>
      <w:r>
        <w:rPr>
          <w:rFonts w:ascii="Times New Roman" w:hAnsi="Times New Roman"/>
          <w:sz w:val="28"/>
          <w:szCs w:val="28"/>
        </w:rPr>
        <w:t xml:space="preserve">ие общегосударственные вопросы» расходы увеличатся на 12,0 тыс. рублей. </w:t>
      </w:r>
      <w:r w:rsidR="00815AB3">
        <w:rPr>
          <w:rFonts w:ascii="Times New Roman" w:hAnsi="Times New Roman"/>
          <w:sz w:val="28"/>
          <w:szCs w:val="28"/>
        </w:rPr>
        <w:t>У</w:t>
      </w:r>
      <w:r w:rsidR="00A31BF0">
        <w:rPr>
          <w:rFonts w:ascii="Times New Roman" w:hAnsi="Times New Roman"/>
          <w:sz w:val="28"/>
          <w:szCs w:val="28"/>
        </w:rPr>
        <w:t xml:space="preserve">тверждаются расходы на </w:t>
      </w:r>
      <w:r>
        <w:rPr>
          <w:rFonts w:ascii="Times New Roman" w:hAnsi="Times New Roman"/>
          <w:sz w:val="28"/>
          <w:szCs w:val="28"/>
        </w:rPr>
        <w:t xml:space="preserve">приобретение имущества в муниципальную собственность. </w:t>
      </w:r>
    </w:p>
    <w:p w:rsidR="00657E90" w:rsidRDefault="00A31BF0" w:rsidP="00815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2CC0" w:rsidRDefault="006A2CC0" w:rsidP="00815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CC0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6A2CC0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6A2CC0">
        <w:rPr>
          <w:rFonts w:ascii="Times New Roman" w:hAnsi="Times New Roman"/>
          <w:sz w:val="28"/>
          <w:szCs w:val="28"/>
        </w:rPr>
        <w:t xml:space="preserve"> раздела 02 «Национальная оборона»: расходы на выплаты персоналу увеличатся на </w:t>
      </w:r>
      <w:r>
        <w:rPr>
          <w:rFonts w:ascii="Times New Roman" w:hAnsi="Times New Roman"/>
          <w:sz w:val="28"/>
          <w:szCs w:val="28"/>
        </w:rPr>
        <w:t>10,0</w:t>
      </w:r>
      <w:r w:rsidRPr="006A2CC0">
        <w:rPr>
          <w:rFonts w:ascii="Times New Roman" w:hAnsi="Times New Roman"/>
          <w:sz w:val="28"/>
          <w:szCs w:val="28"/>
        </w:rPr>
        <w:t xml:space="preserve"> тыс. рублей, расходы на закупки товаров, работ, услуг </w:t>
      </w:r>
      <w:r>
        <w:rPr>
          <w:rFonts w:ascii="Times New Roman" w:hAnsi="Times New Roman"/>
          <w:sz w:val="28"/>
          <w:szCs w:val="28"/>
        </w:rPr>
        <w:t xml:space="preserve">уменьшатся на 10,0 </w:t>
      </w:r>
      <w:r w:rsidRPr="006A2CC0">
        <w:rPr>
          <w:rFonts w:ascii="Times New Roman" w:hAnsi="Times New Roman"/>
          <w:sz w:val="28"/>
          <w:szCs w:val="28"/>
        </w:rPr>
        <w:t xml:space="preserve">тыс. рублей. В целом объем бюджетных ассигнований по указанным подразделу и разделу не изменится (93,5 тыс. рублей).  </w:t>
      </w:r>
    </w:p>
    <w:p w:rsidR="00CE5EA5" w:rsidRDefault="001674C2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1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155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F13155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F13155">
        <w:rPr>
          <w:rFonts w:ascii="Times New Roman" w:hAnsi="Times New Roman"/>
          <w:sz w:val="28"/>
          <w:szCs w:val="28"/>
        </w:rPr>
        <w:t xml:space="preserve"> у</w:t>
      </w:r>
      <w:r w:rsidR="006A2CC0">
        <w:rPr>
          <w:rFonts w:ascii="Times New Roman" w:hAnsi="Times New Roman"/>
          <w:sz w:val="28"/>
          <w:szCs w:val="28"/>
        </w:rPr>
        <w:t xml:space="preserve">меньшается </w:t>
      </w:r>
      <w:r w:rsidRPr="00F13155">
        <w:rPr>
          <w:rFonts w:ascii="Times New Roman" w:hAnsi="Times New Roman"/>
          <w:sz w:val="28"/>
          <w:szCs w:val="28"/>
        </w:rPr>
        <w:t xml:space="preserve">на </w:t>
      </w:r>
      <w:r w:rsidR="006A2CC0">
        <w:rPr>
          <w:rFonts w:ascii="Times New Roman" w:hAnsi="Times New Roman"/>
          <w:sz w:val="28"/>
          <w:szCs w:val="28"/>
        </w:rPr>
        <w:t xml:space="preserve">23,4 </w:t>
      </w:r>
      <w:r w:rsidRPr="00F13155">
        <w:rPr>
          <w:rFonts w:ascii="Times New Roman" w:hAnsi="Times New Roman"/>
          <w:sz w:val="28"/>
          <w:szCs w:val="28"/>
        </w:rPr>
        <w:t>тыс. рублей (</w:t>
      </w:r>
      <w:r w:rsidR="006A2CC0">
        <w:rPr>
          <w:rFonts w:ascii="Times New Roman" w:hAnsi="Times New Roman"/>
          <w:sz w:val="28"/>
          <w:szCs w:val="28"/>
        </w:rPr>
        <w:t>- 1,4 %).</w:t>
      </w:r>
      <w:r w:rsidR="00474BC8">
        <w:rPr>
          <w:rFonts w:ascii="Times New Roman" w:hAnsi="Times New Roman"/>
          <w:sz w:val="28"/>
          <w:szCs w:val="28"/>
        </w:rPr>
        <w:t xml:space="preserve"> </w:t>
      </w:r>
      <w:r w:rsidR="006A2CC0">
        <w:rPr>
          <w:rFonts w:ascii="Times New Roman" w:hAnsi="Times New Roman"/>
          <w:sz w:val="28"/>
          <w:szCs w:val="28"/>
        </w:rPr>
        <w:t xml:space="preserve">Предлагается </w:t>
      </w:r>
      <w:r w:rsidR="00F13155">
        <w:rPr>
          <w:rFonts w:ascii="Times New Roman" w:hAnsi="Times New Roman"/>
          <w:sz w:val="28"/>
          <w:szCs w:val="28"/>
        </w:rPr>
        <w:t>по подразделу 0804 «Другие вопросы в области культуры, кинематографии»</w:t>
      </w:r>
      <w:r w:rsidR="00474BC8">
        <w:rPr>
          <w:rFonts w:ascii="Times New Roman" w:hAnsi="Times New Roman"/>
          <w:sz w:val="28"/>
          <w:szCs w:val="28"/>
        </w:rPr>
        <w:t xml:space="preserve"> уменьшить на 23,4 тыс. рублей расходы на софинансирование мероприятий по реализации проекта «Народный бюджет»</w:t>
      </w:r>
      <w:r w:rsidR="00490AC1">
        <w:rPr>
          <w:rFonts w:ascii="Times New Roman" w:hAnsi="Times New Roman"/>
          <w:sz w:val="28"/>
          <w:szCs w:val="28"/>
        </w:rPr>
        <w:t xml:space="preserve"> (изменение условий софинансирования с 50 % до 30%). </w:t>
      </w:r>
      <w:r w:rsidR="00815AB3">
        <w:rPr>
          <w:rFonts w:ascii="Times New Roman" w:hAnsi="Times New Roman"/>
          <w:sz w:val="28"/>
          <w:szCs w:val="28"/>
        </w:rPr>
        <w:t xml:space="preserve"> </w:t>
      </w:r>
    </w:p>
    <w:p w:rsidR="00474BC8" w:rsidRDefault="00474BC8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BC8" w:rsidRDefault="00474BC8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расходов в р</w:t>
      </w:r>
      <w:r w:rsidRPr="00474BC8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474BC8">
        <w:rPr>
          <w:rFonts w:ascii="Times New Roman" w:hAnsi="Times New Roman"/>
          <w:sz w:val="28"/>
          <w:szCs w:val="28"/>
        </w:rPr>
        <w:t xml:space="preserve"> 10 «Социальная политика» </w:t>
      </w:r>
      <w:r>
        <w:rPr>
          <w:rFonts w:ascii="Times New Roman" w:hAnsi="Times New Roman"/>
          <w:sz w:val="28"/>
          <w:szCs w:val="28"/>
        </w:rPr>
        <w:t xml:space="preserve">составит 87,8 </w:t>
      </w:r>
      <w:r w:rsidRPr="00474BC8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Расходы увеличатся на пенсионное обеспечение за выслугу лет (подраздел 1001 «Пенсионное обеспечение»). </w:t>
      </w:r>
    </w:p>
    <w:p w:rsidR="00474BC8" w:rsidRDefault="00474BC8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BC8" w:rsidRPr="00474BC8" w:rsidRDefault="00474BC8" w:rsidP="00474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C8">
        <w:rPr>
          <w:rFonts w:ascii="Times New Roman" w:hAnsi="Times New Roman"/>
          <w:sz w:val="28"/>
          <w:szCs w:val="28"/>
        </w:rPr>
        <w:t xml:space="preserve">         В результате изменений общий объем бюджетных ассигнований, направляемых на исполнение публичных нормативных обязательств, на 2020 год составит </w:t>
      </w:r>
      <w:r>
        <w:rPr>
          <w:rFonts w:ascii="Times New Roman" w:hAnsi="Times New Roman"/>
          <w:sz w:val="28"/>
          <w:szCs w:val="28"/>
        </w:rPr>
        <w:t>231,3</w:t>
      </w:r>
      <w:r w:rsidRPr="00474BC8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6 решения от </w:t>
      </w:r>
      <w:r>
        <w:rPr>
          <w:rFonts w:ascii="Times New Roman" w:hAnsi="Times New Roman"/>
          <w:sz w:val="28"/>
          <w:szCs w:val="28"/>
        </w:rPr>
        <w:t>09</w:t>
      </w:r>
      <w:r w:rsidRPr="00474BC8">
        <w:rPr>
          <w:rFonts w:ascii="Times New Roman" w:hAnsi="Times New Roman"/>
          <w:sz w:val="28"/>
          <w:szCs w:val="28"/>
        </w:rPr>
        <w:t xml:space="preserve"> декабря 2019 г. № 1</w:t>
      </w:r>
      <w:r>
        <w:rPr>
          <w:rFonts w:ascii="Times New Roman" w:hAnsi="Times New Roman"/>
          <w:sz w:val="28"/>
          <w:szCs w:val="28"/>
        </w:rPr>
        <w:t>09</w:t>
      </w:r>
      <w:r w:rsidRPr="00474BC8">
        <w:rPr>
          <w:rFonts w:ascii="Times New Roman" w:hAnsi="Times New Roman"/>
          <w:sz w:val="28"/>
          <w:szCs w:val="28"/>
        </w:rPr>
        <w:t xml:space="preserve"> «О бюджете сельского поселения А</w:t>
      </w:r>
      <w:r>
        <w:rPr>
          <w:rFonts w:ascii="Times New Roman" w:hAnsi="Times New Roman"/>
          <w:sz w:val="28"/>
          <w:szCs w:val="28"/>
        </w:rPr>
        <w:t>лмозерское</w:t>
      </w:r>
      <w:r w:rsidRPr="00474BC8">
        <w:rPr>
          <w:rFonts w:ascii="Times New Roman" w:hAnsi="Times New Roman"/>
          <w:sz w:val="28"/>
          <w:szCs w:val="28"/>
        </w:rPr>
        <w:t xml:space="preserve"> на 2020 год и плановый период 2021и 2022 годов». </w:t>
      </w:r>
    </w:p>
    <w:p w:rsidR="00474BC8" w:rsidRPr="00474BC8" w:rsidRDefault="00474BC8" w:rsidP="00474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C8">
        <w:rPr>
          <w:rFonts w:ascii="Times New Roman" w:hAnsi="Times New Roman"/>
          <w:iCs/>
          <w:sz w:val="28"/>
          <w:szCs w:val="28"/>
        </w:rPr>
        <w:t xml:space="preserve">      </w:t>
      </w:r>
      <w:r w:rsidRPr="00474BC8">
        <w:rPr>
          <w:rFonts w:ascii="Times New Roman" w:hAnsi="Times New Roman"/>
          <w:sz w:val="28"/>
          <w:szCs w:val="28"/>
        </w:rPr>
        <w:t xml:space="preserve">       </w:t>
      </w:r>
    </w:p>
    <w:p w:rsidR="00474BC8" w:rsidRPr="00815AB3" w:rsidRDefault="00474BC8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EA5" w:rsidRPr="00CE5EA5" w:rsidRDefault="00CE5EA5" w:rsidP="00CE5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E5EA5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474BC8">
        <w:rPr>
          <w:rFonts w:ascii="Times New Roman" w:hAnsi="Times New Roman"/>
          <w:sz w:val="28"/>
          <w:szCs w:val="28"/>
        </w:rPr>
        <w:t>209,0</w:t>
      </w:r>
      <w:r w:rsidR="00815AB3">
        <w:rPr>
          <w:rFonts w:ascii="Times New Roman" w:hAnsi="Times New Roman"/>
          <w:sz w:val="28"/>
          <w:szCs w:val="28"/>
        </w:rPr>
        <w:t xml:space="preserve"> </w:t>
      </w:r>
      <w:r w:rsidRPr="00CE5EA5">
        <w:rPr>
          <w:rFonts w:ascii="Times New Roman" w:hAnsi="Times New Roman"/>
          <w:sz w:val="28"/>
          <w:szCs w:val="28"/>
        </w:rPr>
        <w:t>тыс. рублей.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CE5EA5" w:rsidRPr="00CE5EA5" w:rsidRDefault="00CE5EA5" w:rsidP="00CE5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474BC8" w:rsidRDefault="00CE5EA5" w:rsidP="00731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 xml:space="preserve">       </w:t>
      </w:r>
    </w:p>
    <w:p w:rsidR="009421D4" w:rsidRDefault="003C5B53" w:rsidP="007314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4A83">
        <w:rPr>
          <w:rFonts w:ascii="Times New Roman" w:hAnsi="Times New Roman"/>
          <w:sz w:val="28"/>
          <w:szCs w:val="28"/>
        </w:rPr>
        <w:t xml:space="preserve">     </w:t>
      </w:r>
      <w:r w:rsidR="00394A83" w:rsidRPr="00394A83">
        <w:rPr>
          <w:rFonts w:ascii="Times New Roman" w:hAnsi="Times New Roman"/>
          <w:sz w:val="28"/>
          <w:szCs w:val="28"/>
        </w:rPr>
        <w:t xml:space="preserve">      </w:t>
      </w:r>
    </w:p>
    <w:p w:rsidR="00C25AAE" w:rsidRPr="004E37B4" w:rsidRDefault="00D3380F" w:rsidP="000F4B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2E0C">
        <w:rPr>
          <w:rFonts w:ascii="Times New Roman" w:hAnsi="Times New Roman"/>
          <w:sz w:val="24"/>
          <w:szCs w:val="24"/>
        </w:rPr>
        <w:t xml:space="preserve">  </w:t>
      </w:r>
      <w:r w:rsidR="00C25AAE" w:rsidRPr="004E37B4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4E37B4">
        <w:rPr>
          <w:rFonts w:ascii="Times New Roman" w:hAnsi="Times New Roman"/>
          <w:sz w:val="28"/>
          <w:szCs w:val="28"/>
        </w:rPr>
        <w:t xml:space="preserve">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4E3B5C" w:rsidRPr="004E37B4">
        <w:rPr>
          <w:rFonts w:ascii="Times New Roman" w:hAnsi="Times New Roman"/>
          <w:sz w:val="28"/>
          <w:szCs w:val="28"/>
        </w:rPr>
        <w:t xml:space="preserve"> от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09</w:t>
      </w:r>
      <w:r w:rsidR="00474BC8">
        <w:rPr>
          <w:rFonts w:ascii="Times New Roman" w:hAnsi="Times New Roman"/>
          <w:sz w:val="28"/>
          <w:szCs w:val="28"/>
        </w:rPr>
        <w:t xml:space="preserve"> декабря 2019 года</w:t>
      </w:r>
      <w:r w:rsidR="00ED60EE" w:rsidRPr="00394A83">
        <w:rPr>
          <w:rFonts w:ascii="Times New Roman" w:hAnsi="Times New Roman"/>
          <w:sz w:val="28"/>
          <w:szCs w:val="28"/>
        </w:rPr>
        <w:t xml:space="preserve"> №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109</w:t>
      </w:r>
      <w:r w:rsidR="00ED60EE" w:rsidRPr="004E37B4">
        <w:rPr>
          <w:rFonts w:ascii="Times New Roman" w:hAnsi="Times New Roman"/>
          <w:sz w:val="28"/>
          <w:szCs w:val="28"/>
        </w:rPr>
        <w:t xml:space="preserve"> </w:t>
      </w:r>
      <w:r w:rsidR="00BF4783" w:rsidRPr="004E37B4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BF4783" w:rsidRPr="004E37B4">
        <w:rPr>
          <w:rFonts w:ascii="Times New Roman" w:hAnsi="Times New Roman"/>
          <w:sz w:val="28"/>
          <w:szCs w:val="28"/>
        </w:rPr>
        <w:t xml:space="preserve"> на 20</w:t>
      </w:r>
      <w:r w:rsidR="00ED60EE">
        <w:rPr>
          <w:rFonts w:ascii="Times New Roman" w:hAnsi="Times New Roman"/>
          <w:sz w:val="28"/>
          <w:szCs w:val="28"/>
        </w:rPr>
        <w:t>20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1</w:t>
      </w:r>
      <w:r w:rsidR="00BF4783" w:rsidRPr="004E37B4">
        <w:rPr>
          <w:rFonts w:ascii="Times New Roman" w:hAnsi="Times New Roman"/>
          <w:sz w:val="28"/>
          <w:szCs w:val="28"/>
        </w:rPr>
        <w:t xml:space="preserve"> и 20</w:t>
      </w:r>
      <w:r w:rsidR="00DD10B5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2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годов».</w:t>
      </w:r>
    </w:p>
    <w:p w:rsidR="009421D4" w:rsidRDefault="009421D4" w:rsidP="009421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421D4" w:rsidRDefault="009421D4" w:rsidP="000F4B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80F" w:rsidRPr="004E37B4" w:rsidRDefault="00D3380F" w:rsidP="000F4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4E37B4" w:rsidRDefault="00DD7B73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b/>
          <w:sz w:val="28"/>
          <w:szCs w:val="28"/>
        </w:rPr>
        <w:t>Выводы</w:t>
      </w:r>
      <w:r w:rsidR="006574AC" w:rsidRPr="004E37B4">
        <w:rPr>
          <w:rFonts w:ascii="Times New Roman" w:hAnsi="Times New Roman"/>
          <w:b/>
          <w:sz w:val="28"/>
          <w:szCs w:val="28"/>
        </w:rPr>
        <w:t>.</w:t>
      </w:r>
    </w:p>
    <w:p w:rsidR="005F229B" w:rsidRPr="004E37B4" w:rsidRDefault="005F229B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46DB" w:rsidRPr="004E37B4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sz w:val="28"/>
          <w:szCs w:val="28"/>
        </w:rPr>
        <w:t xml:space="preserve">    </w:t>
      </w:r>
      <w:r w:rsidR="009D52EE" w:rsidRPr="004E37B4">
        <w:rPr>
          <w:rFonts w:ascii="Times New Roman" w:hAnsi="Times New Roman"/>
          <w:sz w:val="28"/>
          <w:szCs w:val="28"/>
        </w:rPr>
        <w:t xml:space="preserve">     </w:t>
      </w:r>
      <w:r w:rsidR="004A1894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4E37B4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Алмозерское от 09.12.2019 №109»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D3380F" w:rsidRPr="004E37B4">
        <w:rPr>
          <w:rFonts w:ascii="Times New Roman" w:hAnsi="Times New Roman"/>
          <w:sz w:val="28"/>
          <w:szCs w:val="28"/>
        </w:rPr>
        <w:t>.</w:t>
      </w:r>
      <w:r w:rsidR="00DD7B73" w:rsidRPr="004E37B4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4E37B4">
        <w:rPr>
          <w:rFonts w:ascii="Times New Roman" w:hAnsi="Times New Roman"/>
          <w:sz w:val="28"/>
          <w:szCs w:val="28"/>
        </w:rPr>
        <w:t xml:space="preserve">рекомендуется </w:t>
      </w:r>
      <w:r w:rsidR="00D3380F" w:rsidRPr="004E37B4">
        <w:rPr>
          <w:rFonts w:ascii="Times New Roman" w:hAnsi="Times New Roman"/>
          <w:b/>
          <w:sz w:val="28"/>
          <w:szCs w:val="28"/>
        </w:rPr>
        <w:t xml:space="preserve">к </w:t>
      </w:r>
      <w:r w:rsidR="000F4B29" w:rsidRPr="004E37B4">
        <w:rPr>
          <w:rFonts w:ascii="Times New Roman" w:hAnsi="Times New Roman"/>
          <w:b/>
          <w:sz w:val="28"/>
          <w:szCs w:val="28"/>
        </w:rPr>
        <w:t>рассмотре</w:t>
      </w:r>
      <w:r w:rsidR="00D3380F" w:rsidRPr="004E37B4">
        <w:rPr>
          <w:rFonts w:ascii="Times New Roman" w:hAnsi="Times New Roman"/>
          <w:b/>
          <w:sz w:val="28"/>
          <w:szCs w:val="28"/>
        </w:rPr>
        <w:t>нию</w:t>
      </w:r>
      <w:r w:rsidR="004E37B4">
        <w:rPr>
          <w:rFonts w:ascii="Times New Roman" w:hAnsi="Times New Roman"/>
          <w:b/>
          <w:sz w:val="28"/>
          <w:szCs w:val="28"/>
        </w:rPr>
        <w:t>.</w:t>
      </w:r>
    </w:p>
    <w:p w:rsidR="00DD7B73" w:rsidRPr="004E37B4" w:rsidRDefault="00DD7B73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5E5DD9" w:rsidRPr="004E37B4" w:rsidRDefault="005E5DD9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2B02C3" w:rsidRPr="002B02C3" w:rsidRDefault="00D3380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4E37B4">
        <w:rPr>
          <w:rFonts w:ascii="Times New Roman" w:hAnsi="Times New Roman"/>
          <w:sz w:val="28"/>
          <w:szCs w:val="28"/>
        </w:rPr>
        <w:t>Аудитор</w:t>
      </w:r>
      <w:r w:rsidR="002B02C3" w:rsidRPr="004E37B4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DD7B73" w:rsidRPr="004E37B4">
        <w:rPr>
          <w:rFonts w:ascii="Times New Roman" w:hAnsi="Times New Roman"/>
          <w:sz w:val="28"/>
          <w:szCs w:val="28"/>
        </w:rPr>
        <w:t xml:space="preserve"> ВМР</w:t>
      </w:r>
      <w:r w:rsidR="002B02C3" w:rsidRPr="004E37B4">
        <w:rPr>
          <w:rFonts w:ascii="Times New Roman" w:hAnsi="Times New Roman"/>
          <w:sz w:val="28"/>
          <w:szCs w:val="28"/>
        </w:rPr>
        <w:t xml:space="preserve">       </w:t>
      </w:r>
      <w:r w:rsidR="004E37B4">
        <w:rPr>
          <w:rFonts w:ascii="Times New Roman" w:hAnsi="Times New Roman"/>
          <w:sz w:val="28"/>
          <w:szCs w:val="28"/>
        </w:rPr>
        <w:t xml:space="preserve">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              </w:t>
      </w:r>
      <w:r w:rsidRPr="004E37B4">
        <w:rPr>
          <w:rFonts w:ascii="Times New Roman" w:hAnsi="Times New Roman"/>
          <w:sz w:val="28"/>
          <w:szCs w:val="28"/>
        </w:rPr>
        <w:t xml:space="preserve">         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</w:t>
      </w:r>
      <w:r w:rsidR="002B02C3" w:rsidRPr="004E37B4">
        <w:rPr>
          <w:rFonts w:ascii="Times New Roman" w:hAnsi="Times New Roman"/>
          <w:sz w:val="28"/>
          <w:szCs w:val="28"/>
        </w:rPr>
        <w:t xml:space="preserve">   </w:t>
      </w:r>
      <w:r w:rsidRPr="004E37B4">
        <w:rPr>
          <w:rFonts w:ascii="Times New Roman" w:hAnsi="Times New Roman"/>
          <w:sz w:val="28"/>
          <w:szCs w:val="28"/>
        </w:rPr>
        <w:t>О.Е. Нестерова</w:t>
      </w:r>
      <w:r w:rsidR="002B02C3" w:rsidRPr="002B02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2B02C3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32" w:rsidRDefault="008C1932" w:rsidP="004D0C46">
      <w:pPr>
        <w:spacing w:after="0" w:line="240" w:lineRule="auto"/>
      </w:pPr>
      <w:r>
        <w:separator/>
      </w:r>
    </w:p>
  </w:endnote>
  <w:endnote w:type="continuationSeparator" w:id="0">
    <w:p w:rsidR="008C1932" w:rsidRDefault="008C1932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32" w:rsidRDefault="008C1932" w:rsidP="004D0C46">
      <w:pPr>
        <w:spacing w:after="0" w:line="240" w:lineRule="auto"/>
      </w:pPr>
      <w:r>
        <w:separator/>
      </w:r>
    </w:p>
  </w:footnote>
  <w:footnote w:type="continuationSeparator" w:id="0">
    <w:p w:rsidR="008C1932" w:rsidRDefault="008C1932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2F8"/>
    <w:multiLevelType w:val="hybridMultilevel"/>
    <w:tmpl w:val="1B54CAEE"/>
    <w:lvl w:ilvl="0" w:tplc="04190001">
      <w:start w:val="3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099B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3BA7"/>
    <w:rsid w:val="000A5D13"/>
    <w:rsid w:val="000A7639"/>
    <w:rsid w:val="000B04D7"/>
    <w:rsid w:val="000B08CE"/>
    <w:rsid w:val="000B4A7E"/>
    <w:rsid w:val="000B78EF"/>
    <w:rsid w:val="000B7A50"/>
    <w:rsid w:val="000C0FF1"/>
    <w:rsid w:val="000C25A9"/>
    <w:rsid w:val="000C2A54"/>
    <w:rsid w:val="000C2E6E"/>
    <w:rsid w:val="000C6183"/>
    <w:rsid w:val="000C6C20"/>
    <w:rsid w:val="000D1625"/>
    <w:rsid w:val="000D437F"/>
    <w:rsid w:val="000D4A6A"/>
    <w:rsid w:val="000D7A69"/>
    <w:rsid w:val="000E015A"/>
    <w:rsid w:val="000E316F"/>
    <w:rsid w:val="000F20BD"/>
    <w:rsid w:val="000F4B29"/>
    <w:rsid w:val="000F6992"/>
    <w:rsid w:val="001036E9"/>
    <w:rsid w:val="00111A78"/>
    <w:rsid w:val="0011287C"/>
    <w:rsid w:val="00115548"/>
    <w:rsid w:val="001160C7"/>
    <w:rsid w:val="001228A7"/>
    <w:rsid w:val="00126F55"/>
    <w:rsid w:val="001408CD"/>
    <w:rsid w:val="00154FD8"/>
    <w:rsid w:val="00155483"/>
    <w:rsid w:val="0015657C"/>
    <w:rsid w:val="00157FB5"/>
    <w:rsid w:val="00162154"/>
    <w:rsid w:val="001674C2"/>
    <w:rsid w:val="00171791"/>
    <w:rsid w:val="00181869"/>
    <w:rsid w:val="00182AFA"/>
    <w:rsid w:val="00195C2C"/>
    <w:rsid w:val="00195DE0"/>
    <w:rsid w:val="001A0468"/>
    <w:rsid w:val="001B06F3"/>
    <w:rsid w:val="001B19ED"/>
    <w:rsid w:val="001B25E5"/>
    <w:rsid w:val="001B43E9"/>
    <w:rsid w:val="001B4DE8"/>
    <w:rsid w:val="001B4F75"/>
    <w:rsid w:val="001B748B"/>
    <w:rsid w:val="001B748D"/>
    <w:rsid w:val="001C0108"/>
    <w:rsid w:val="001C1BA6"/>
    <w:rsid w:val="001C24DE"/>
    <w:rsid w:val="001C4013"/>
    <w:rsid w:val="001D0173"/>
    <w:rsid w:val="001D09E7"/>
    <w:rsid w:val="001D0D2B"/>
    <w:rsid w:val="001D4C9A"/>
    <w:rsid w:val="001E0447"/>
    <w:rsid w:val="001F6242"/>
    <w:rsid w:val="00204911"/>
    <w:rsid w:val="00206CCD"/>
    <w:rsid w:val="0021209D"/>
    <w:rsid w:val="00215F0D"/>
    <w:rsid w:val="00222C64"/>
    <w:rsid w:val="00232FA1"/>
    <w:rsid w:val="002343AB"/>
    <w:rsid w:val="002411D7"/>
    <w:rsid w:val="00242FF5"/>
    <w:rsid w:val="002523AC"/>
    <w:rsid w:val="0025466B"/>
    <w:rsid w:val="0025555F"/>
    <w:rsid w:val="00270588"/>
    <w:rsid w:val="00286B24"/>
    <w:rsid w:val="002A5EAA"/>
    <w:rsid w:val="002B02C3"/>
    <w:rsid w:val="002B0BD6"/>
    <w:rsid w:val="002B5057"/>
    <w:rsid w:val="002B7AA7"/>
    <w:rsid w:val="002C0E28"/>
    <w:rsid w:val="002C0F27"/>
    <w:rsid w:val="002F38A5"/>
    <w:rsid w:val="002F3D71"/>
    <w:rsid w:val="002F516A"/>
    <w:rsid w:val="0030262E"/>
    <w:rsid w:val="0030498B"/>
    <w:rsid w:val="00304DCA"/>
    <w:rsid w:val="00326320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94A83"/>
    <w:rsid w:val="003A04EA"/>
    <w:rsid w:val="003B0E51"/>
    <w:rsid w:val="003B17B7"/>
    <w:rsid w:val="003B20CE"/>
    <w:rsid w:val="003B6696"/>
    <w:rsid w:val="003C16D6"/>
    <w:rsid w:val="003C5B53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36353"/>
    <w:rsid w:val="0044100C"/>
    <w:rsid w:val="00444E48"/>
    <w:rsid w:val="00445B90"/>
    <w:rsid w:val="004537B9"/>
    <w:rsid w:val="004606E5"/>
    <w:rsid w:val="004617E6"/>
    <w:rsid w:val="00461B6A"/>
    <w:rsid w:val="0047070D"/>
    <w:rsid w:val="00474BC8"/>
    <w:rsid w:val="0048159E"/>
    <w:rsid w:val="004861B3"/>
    <w:rsid w:val="00490AC1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7B4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3875"/>
    <w:rsid w:val="005362B9"/>
    <w:rsid w:val="0054273E"/>
    <w:rsid w:val="005434A5"/>
    <w:rsid w:val="00545558"/>
    <w:rsid w:val="00546911"/>
    <w:rsid w:val="005533B2"/>
    <w:rsid w:val="005621B5"/>
    <w:rsid w:val="005653E9"/>
    <w:rsid w:val="00570564"/>
    <w:rsid w:val="00576F96"/>
    <w:rsid w:val="0058163A"/>
    <w:rsid w:val="005837BA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557"/>
    <w:rsid w:val="005E42A4"/>
    <w:rsid w:val="005E5DD9"/>
    <w:rsid w:val="005F1FD0"/>
    <w:rsid w:val="005F229B"/>
    <w:rsid w:val="005F4508"/>
    <w:rsid w:val="005F6137"/>
    <w:rsid w:val="00605237"/>
    <w:rsid w:val="006074B8"/>
    <w:rsid w:val="00611F49"/>
    <w:rsid w:val="006129B5"/>
    <w:rsid w:val="00616392"/>
    <w:rsid w:val="00625CF1"/>
    <w:rsid w:val="00627A9E"/>
    <w:rsid w:val="006302A5"/>
    <w:rsid w:val="00632406"/>
    <w:rsid w:val="00650992"/>
    <w:rsid w:val="00651898"/>
    <w:rsid w:val="00652205"/>
    <w:rsid w:val="006574AC"/>
    <w:rsid w:val="00657E90"/>
    <w:rsid w:val="006756F3"/>
    <w:rsid w:val="00677156"/>
    <w:rsid w:val="00681EA1"/>
    <w:rsid w:val="0068362F"/>
    <w:rsid w:val="006911B7"/>
    <w:rsid w:val="006914B3"/>
    <w:rsid w:val="006A2CC0"/>
    <w:rsid w:val="006A3763"/>
    <w:rsid w:val="006B3B71"/>
    <w:rsid w:val="006B7F5A"/>
    <w:rsid w:val="006C784A"/>
    <w:rsid w:val="006D1549"/>
    <w:rsid w:val="006D56D5"/>
    <w:rsid w:val="006E1D4E"/>
    <w:rsid w:val="006E3DEB"/>
    <w:rsid w:val="006E6209"/>
    <w:rsid w:val="006E6EA9"/>
    <w:rsid w:val="007011FB"/>
    <w:rsid w:val="00722B16"/>
    <w:rsid w:val="00731448"/>
    <w:rsid w:val="007318DC"/>
    <w:rsid w:val="00731CEC"/>
    <w:rsid w:val="007375E5"/>
    <w:rsid w:val="00737A77"/>
    <w:rsid w:val="007404B8"/>
    <w:rsid w:val="007642A6"/>
    <w:rsid w:val="007647E0"/>
    <w:rsid w:val="00770539"/>
    <w:rsid w:val="00770F68"/>
    <w:rsid w:val="007802DF"/>
    <w:rsid w:val="0078076C"/>
    <w:rsid w:val="007843BE"/>
    <w:rsid w:val="00785639"/>
    <w:rsid w:val="00790858"/>
    <w:rsid w:val="0079518B"/>
    <w:rsid w:val="007A03FD"/>
    <w:rsid w:val="007A3A5E"/>
    <w:rsid w:val="007A668F"/>
    <w:rsid w:val="007A7899"/>
    <w:rsid w:val="007B1EF1"/>
    <w:rsid w:val="007B4143"/>
    <w:rsid w:val="007C5600"/>
    <w:rsid w:val="007D0E1A"/>
    <w:rsid w:val="007D3DA5"/>
    <w:rsid w:val="007E50BA"/>
    <w:rsid w:val="007E6120"/>
    <w:rsid w:val="007F3112"/>
    <w:rsid w:val="008019B1"/>
    <w:rsid w:val="0080537B"/>
    <w:rsid w:val="00805589"/>
    <w:rsid w:val="00807474"/>
    <w:rsid w:val="00813A41"/>
    <w:rsid w:val="00815AB3"/>
    <w:rsid w:val="00816418"/>
    <w:rsid w:val="0082077C"/>
    <w:rsid w:val="00822A6C"/>
    <w:rsid w:val="0083085D"/>
    <w:rsid w:val="00833324"/>
    <w:rsid w:val="008333C7"/>
    <w:rsid w:val="0083611B"/>
    <w:rsid w:val="00846DE6"/>
    <w:rsid w:val="00854979"/>
    <w:rsid w:val="00856704"/>
    <w:rsid w:val="00856B94"/>
    <w:rsid w:val="008577A0"/>
    <w:rsid w:val="0086096B"/>
    <w:rsid w:val="00861CA2"/>
    <w:rsid w:val="00863C28"/>
    <w:rsid w:val="00865EC2"/>
    <w:rsid w:val="0086659A"/>
    <w:rsid w:val="00873550"/>
    <w:rsid w:val="00885AB0"/>
    <w:rsid w:val="008946DB"/>
    <w:rsid w:val="00896552"/>
    <w:rsid w:val="00896BE0"/>
    <w:rsid w:val="00897AF5"/>
    <w:rsid w:val="008A55D6"/>
    <w:rsid w:val="008B0912"/>
    <w:rsid w:val="008B13CD"/>
    <w:rsid w:val="008B6C9B"/>
    <w:rsid w:val="008C1932"/>
    <w:rsid w:val="008D25C8"/>
    <w:rsid w:val="008D2CFF"/>
    <w:rsid w:val="008D44E7"/>
    <w:rsid w:val="008F1159"/>
    <w:rsid w:val="00901EB4"/>
    <w:rsid w:val="00903D8E"/>
    <w:rsid w:val="00906713"/>
    <w:rsid w:val="00912F0D"/>
    <w:rsid w:val="009160D9"/>
    <w:rsid w:val="00917FC9"/>
    <w:rsid w:val="0093052C"/>
    <w:rsid w:val="00934068"/>
    <w:rsid w:val="00935B92"/>
    <w:rsid w:val="009378AC"/>
    <w:rsid w:val="00940BF3"/>
    <w:rsid w:val="009421D4"/>
    <w:rsid w:val="009436B0"/>
    <w:rsid w:val="00943B1F"/>
    <w:rsid w:val="00946FC8"/>
    <w:rsid w:val="00950FE8"/>
    <w:rsid w:val="00951B91"/>
    <w:rsid w:val="009567C9"/>
    <w:rsid w:val="0096106E"/>
    <w:rsid w:val="009645A4"/>
    <w:rsid w:val="009652F5"/>
    <w:rsid w:val="009719B9"/>
    <w:rsid w:val="00972592"/>
    <w:rsid w:val="009777CF"/>
    <w:rsid w:val="009809C1"/>
    <w:rsid w:val="00986CF4"/>
    <w:rsid w:val="0099160D"/>
    <w:rsid w:val="009A0AF4"/>
    <w:rsid w:val="009C0C62"/>
    <w:rsid w:val="009C1ABA"/>
    <w:rsid w:val="009C6C72"/>
    <w:rsid w:val="009D1A2B"/>
    <w:rsid w:val="009D25CA"/>
    <w:rsid w:val="009D52EE"/>
    <w:rsid w:val="009D5CCF"/>
    <w:rsid w:val="009F1878"/>
    <w:rsid w:val="009F52E0"/>
    <w:rsid w:val="00A03A29"/>
    <w:rsid w:val="00A074EF"/>
    <w:rsid w:val="00A10FE3"/>
    <w:rsid w:val="00A177BA"/>
    <w:rsid w:val="00A20C17"/>
    <w:rsid w:val="00A22AF5"/>
    <w:rsid w:val="00A31BF0"/>
    <w:rsid w:val="00A4705B"/>
    <w:rsid w:val="00A55008"/>
    <w:rsid w:val="00A568CC"/>
    <w:rsid w:val="00A60905"/>
    <w:rsid w:val="00A6092B"/>
    <w:rsid w:val="00A64AEB"/>
    <w:rsid w:val="00A65481"/>
    <w:rsid w:val="00A67A23"/>
    <w:rsid w:val="00A67A78"/>
    <w:rsid w:val="00A8704B"/>
    <w:rsid w:val="00A9034C"/>
    <w:rsid w:val="00A92A11"/>
    <w:rsid w:val="00A951A7"/>
    <w:rsid w:val="00AA0374"/>
    <w:rsid w:val="00AA27E6"/>
    <w:rsid w:val="00AA58F2"/>
    <w:rsid w:val="00AA6130"/>
    <w:rsid w:val="00AB0CAE"/>
    <w:rsid w:val="00AB4181"/>
    <w:rsid w:val="00AC1F54"/>
    <w:rsid w:val="00AC5047"/>
    <w:rsid w:val="00AD18E4"/>
    <w:rsid w:val="00AD5F7F"/>
    <w:rsid w:val="00AD6113"/>
    <w:rsid w:val="00AF10F5"/>
    <w:rsid w:val="00AF72F1"/>
    <w:rsid w:val="00AF7426"/>
    <w:rsid w:val="00B07122"/>
    <w:rsid w:val="00B1359D"/>
    <w:rsid w:val="00B156F0"/>
    <w:rsid w:val="00B26229"/>
    <w:rsid w:val="00B32484"/>
    <w:rsid w:val="00B331C3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5873"/>
    <w:rsid w:val="00B873D0"/>
    <w:rsid w:val="00B9011A"/>
    <w:rsid w:val="00B9131B"/>
    <w:rsid w:val="00BB01E2"/>
    <w:rsid w:val="00BB2235"/>
    <w:rsid w:val="00BB3BF2"/>
    <w:rsid w:val="00BC144E"/>
    <w:rsid w:val="00BD562E"/>
    <w:rsid w:val="00BE3F1D"/>
    <w:rsid w:val="00BF3AC2"/>
    <w:rsid w:val="00BF4783"/>
    <w:rsid w:val="00BF6DE8"/>
    <w:rsid w:val="00C105D9"/>
    <w:rsid w:val="00C2057D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4E5C"/>
    <w:rsid w:val="00C66761"/>
    <w:rsid w:val="00C73BAF"/>
    <w:rsid w:val="00C76F15"/>
    <w:rsid w:val="00C82AD6"/>
    <w:rsid w:val="00C83256"/>
    <w:rsid w:val="00C84105"/>
    <w:rsid w:val="00C918E0"/>
    <w:rsid w:val="00C92E86"/>
    <w:rsid w:val="00C93AEB"/>
    <w:rsid w:val="00C9509C"/>
    <w:rsid w:val="00CA5027"/>
    <w:rsid w:val="00CB2A07"/>
    <w:rsid w:val="00CB723C"/>
    <w:rsid w:val="00CB77A8"/>
    <w:rsid w:val="00CC1927"/>
    <w:rsid w:val="00CC1A24"/>
    <w:rsid w:val="00CC3165"/>
    <w:rsid w:val="00CC449F"/>
    <w:rsid w:val="00CC46F2"/>
    <w:rsid w:val="00CC54C1"/>
    <w:rsid w:val="00CD0517"/>
    <w:rsid w:val="00CD1BA4"/>
    <w:rsid w:val="00CD4BC3"/>
    <w:rsid w:val="00CE4152"/>
    <w:rsid w:val="00CE5EA5"/>
    <w:rsid w:val="00CF0543"/>
    <w:rsid w:val="00CF348A"/>
    <w:rsid w:val="00D03FCD"/>
    <w:rsid w:val="00D10AB7"/>
    <w:rsid w:val="00D232EF"/>
    <w:rsid w:val="00D3013A"/>
    <w:rsid w:val="00D31592"/>
    <w:rsid w:val="00D3380F"/>
    <w:rsid w:val="00D40D70"/>
    <w:rsid w:val="00D50586"/>
    <w:rsid w:val="00D643BE"/>
    <w:rsid w:val="00D65C13"/>
    <w:rsid w:val="00D6603C"/>
    <w:rsid w:val="00D777CE"/>
    <w:rsid w:val="00D83690"/>
    <w:rsid w:val="00D83DB9"/>
    <w:rsid w:val="00D975BC"/>
    <w:rsid w:val="00DA2DE7"/>
    <w:rsid w:val="00DA73CB"/>
    <w:rsid w:val="00DB0158"/>
    <w:rsid w:val="00DB46F5"/>
    <w:rsid w:val="00DB5171"/>
    <w:rsid w:val="00DC1826"/>
    <w:rsid w:val="00DC2EA2"/>
    <w:rsid w:val="00DC4840"/>
    <w:rsid w:val="00DC6BC6"/>
    <w:rsid w:val="00DD0684"/>
    <w:rsid w:val="00DD10B5"/>
    <w:rsid w:val="00DD1300"/>
    <w:rsid w:val="00DD27BD"/>
    <w:rsid w:val="00DD3E03"/>
    <w:rsid w:val="00DD7B73"/>
    <w:rsid w:val="00DE4715"/>
    <w:rsid w:val="00DE69FE"/>
    <w:rsid w:val="00DE773F"/>
    <w:rsid w:val="00DF0B39"/>
    <w:rsid w:val="00DF6F89"/>
    <w:rsid w:val="00E13E3C"/>
    <w:rsid w:val="00E13FCD"/>
    <w:rsid w:val="00E314AC"/>
    <w:rsid w:val="00E3189A"/>
    <w:rsid w:val="00E3653A"/>
    <w:rsid w:val="00E36F02"/>
    <w:rsid w:val="00E42DCD"/>
    <w:rsid w:val="00E42F88"/>
    <w:rsid w:val="00E4309A"/>
    <w:rsid w:val="00E43A42"/>
    <w:rsid w:val="00E444F5"/>
    <w:rsid w:val="00E45C7E"/>
    <w:rsid w:val="00E62294"/>
    <w:rsid w:val="00E62C44"/>
    <w:rsid w:val="00E71301"/>
    <w:rsid w:val="00E73B80"/>
    <w:rsid w:val="00E73FF5"/>
    <w:rsid w:val="00E74110"/>
    <w:rsid w:val="00E75433"/>
    <w:rsid w:val="00E80E9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D60EE"/>
    <w:rsid w:val="00EE07EE"/>
    <w:rsid w:val="00EE1410"/>
    <w:rsid w:val="00EE1907"/>
    <w:rsid w:val="00EE272E"/>
    <w:rsid w:val="00EE5C1D"/>
    <w:rsid w:val="00EF03B0"/>
    <w:rsid w:val="00EF41C8"/>
    <w:rsid w:val="00EF665D"/>
    <w:rsid w:val="00EF6D22"/>
    <w:rsid w:val="00F0734D"/>
    <w:rsid w:val="00F12FAC"/>
    <w:rsid w:val="00F13155"/>
    <w:rsid w:val="00F176B0"/>
    <w:rsid w:val="00F2175B"/>
    <w:rsid w:val="00F22CB2"/>
    <w:rsid w:val="00F24F10"/>
    <w:rsid w:val="00F27554"/>
    <w:rsid w:val="00F32139"/>
    <w:rsid w:val="00F36D1A"/>
    <w:rsid w:val="00F419A5"/>
    <w:rsid w:val="00F42AD7"/>
    <w:rsid w:val="00F537D9"/>
    <w:rsid w:val="00F5502C"/>
    <w:rsid w:val="00F55346"/>
    <w:rsid w:val="00F55F4B"/>
    <w:rsid w:val="00F566A8"/>
    <w:rsid w:val="00F609F5"/>
    <w:rsid w:val="00F622FF"/>
    <w:rsid w:val="00F64173"/>
    <w:rsid w:val="00F67AFA"/>
    <w:rsid w:val="00F71303"/>
    <w:rsid w:val="00F74C78"/>
    <w:rsid w:val="00F80C21"/>
    <w:rsid w:val="00F80DE7"/>
    <w:rsid w:val="00F82C95"/>
    <w:rsid w:val="00F8640C"/>
    <w:rsid w:val="00F91081"/>
    <w:rsid w:val="00F9752E"/>
    <w:rsid w:val="00FA3938"/>
    <w:rsid w:val="00FA4FAF"/>
    <w:rsid w:val="00FB0778"/>
    <w:rsid w:val="00FB4293"/>
    <w:rsid w:val="00FC2345"/>
    <w:rsid w:val="00FC2E0C"/>
    <w:rsid w:val="00FC5786"/>
    <w:rsid w:val="00FC5CD1"/>
    <w:rsid w:val="00FD17E1"/>
    <w:rsid w:val="00FD634B"/>
    <w:rsid w:val="00FE01B1"/>
    <w:rsid w:val="00FE03D6"/>
    <w:rsid w:val="00FF0D5C"/>
    <w:rsid w:val="00FF158C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71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1EA8-04D5-415B-A621-00B1D05B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2020-10-28T08:49:00Z</cp:lastPrinted>
  <dcterms:created xsi:type="dcterms:W3CDTF">2021-02-02T08:05:00Z</dcterms:created>
  <dcterms:modified xsi:type="dcterms:W3CDTF">2021-02-02T08:05:00Z</dcterms:modified>
</cp:coreProperties>
</file>