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645A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645A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645A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E84408" w:rsidP="0064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3E6A2D">
        <w:rPr>
          <w:rFonts w:ascii="Times New Roman" w:hAnsi="Times New Roman"/>
          <w:sz w:val="28"/>
          <w:szCs w:val="28"/>
        </w:rPr>
        <w:t>.0</w:t>
      </w:r>
      <w:r w:rsidR="00440691">
        <w:rPr>
          <w:rFonts w:ascii="Times New Roman" w:hAnsi="Times New Roman"/>
          <w:sz w:val="28"/>
          <w:szCs w:val="28"/>
        </w:rPr>
        <w:t>3</w:t>
      </w:r>
      <w:r w:rsidR="003E6A2D">
        <w:rPr>
          <w:rFonts w:ascii="Times New Roman" w:hAnsi="Times New Roman"/>
          <w:sz w:val="28"/>
          <w:szCs w:val="28"/>
        </w:rPr>
        <w:t>.2020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406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406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645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F2B" w:rsidRDefault="00554CE5" w:rsidP="0064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3E6A2D">
        <w:rPr>
          <w:rFonts w:ascii="Times New Roman" w:hAnsi="Times New Roman"/>
          <w:sz w:val="28"/>
          <w:szCs w:val="28"/>
        </w:rPr>
        <w:t>«О районном бюджете на 2020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3E6A2D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 Изменения предусмотрены</w:t>
      </w:r>
      <w:r w:rsidR="00440691">
        <w:rPr>
          <w:rFonts w:ascii="Times New Roman" w:hAnsi="Times New Roman"/>
          <w:sz w:val="28"/>
          <w:szCs w:val="28"/>
        </w:rPr>
        <w:t xml:space="preserve"> в доходной и расходной </w:t>
      </w:r>
      <w:r w:rsidR="003E6A2D">
        <w:rPr>
          <w:rFonts w:ascii="Times New Roman" w:hAnsi="Times New Roman"/>
          <w:sz w:val="28"/>
          <w:szCs w:val="28"/>
        </w:rPr>
        <w:t>част</w:t>
      </w:r>
      <w:r w:rsidR="00440691">
        <w:rPr>
          <w:rFonts w:ascii="Times New Roman" w:hAnsi="Times New Roman"/>
          <w:sz w:val="28"/>
          <w:szCs w:val="28"/>
        </w:rPr>
        <w:t>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440691">
        <w:rPr>
          <w:rFonts w:ascii="Times New Roman" w:hAnsi="Times New Roman"/>
          <w:sz w:val="28"/>
          <w:szCs w:val="28"/>
        </w:rPr>
        <w:t xml:space="preserve"> на 2020 год,</w:t>
      </w:r>
      <w:r w:rsidR="003E6A2D">
        <w:rPr>
          <w:rFonts w:ascii="Times New Roman" w:hAnsi="Times New Roman"/>
          <w:sz w:val="28"/>
          <w:szCs w:val="28"/>
        </w:rPr>
        <w:t xml:space="preserve"> планового периода</w:t>
      </w:r>
      <w:r w:rsidR="00440691">
        <w:rPr>
          <w:rFonts w:ascii="Times New Roman" w:hAnsi="Times New Roman"/>
          <w:sz w:val="28"/>
          <w:szCs w:val="28"/>
        </w:rPr>
        <w:t xml:space="preserve"> 2021 и</w:t>
      </w:r>
      <w:r w:rsidR="003E6A2D">
        <w:rPr>
          <w:rFonts w:ascii="Times New Roman" w:hAnsi="Times New Roman"/>
          <w:sz w:val="28"/>
          <w:szCs w:val="28"/>
        </w:rPr>
        <w:t xml:space="preserve"> 2022</w:t>
      </w:r>
      <w:r w:rsidR="009B205D" w:rsidRPr="00645ACC">
        <w:rPr>
          <w:rFonts w:ascii="Times New Roman" w:hAnsi="Times New Roman"/>
          <w:sz w:val="28"/>
          <w:szCs w:val="28"/>
        </w:rPr>
        <w:t xml:space="preserve"> год</w:t>
      </w:r>
      <w:r w:rsidR="00440691">
        <w:rPr>
          <w:rFonts w:ascii="Times New Roman" w:hAnsi="Times New Roman"/>
          <w:sz w:val="28"/>
          <w:szCs w:val="28"/>
        </w:rPr>
        <w:t>ов</w:t>
      </w:r>
      <w:r w:rsidR="00795EC1" w:rsidRPr="00645ACC">
        <w:rPr>
          <w:rFonts w:ascii="Times New Roman" w:hAnsi="Times New Roman"/>
          <w:sz w:val="28"/>
          <w:szCs w:val="28"/>
        </w:rPr>
        <w:t>.</w:t>
      </w:r>
      <w:r w:rsidR="004F0158" w:rsidRPr="00645ACC">
        <w:rPr>
          <w:rFonts w:ascii="Times New Roman" w:hAnsi="Times New Roman"/>
          <w:sz w:val="28"/>
          <w:szCs w:val="28"/>
        </w:rPr>
        <w:t xml:space="preserve">  </w:t>
      </w:r>
    </w:p>
    <w:p w:rsidR="001968D1" w:rsidRPr="00645ACC" w:rsidRDefault="001968D1" w:rsidP="0064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D1" w:rsidRDefault="00225AD6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изменения в </w:t>
      </w:r>
      <w:r w:rsidR="001201D1">
        <w:rPr>
          <w:rFonts w:ascii="Times New Roman" w:hAnsi="Times New Roman"/>
          <w:sz w:val="28"/>
          <w:szCs w:val="28"/>
        </w:rPr>
        <w:t>доходных частях бюджета о</w:t>
      </w:r>
      <w:r w:rsidR="003E6A2D">
        <w:rPr>
          <w:rFonts w:ascii="Times New Roman" w:hAnsi="Times New Roman"/>
          <w:sz w:val="28"/>
          <w:szCs w:val="28"/>
        </w:rPr>
        <w:t xml:space="preserve">бусловлены </w:t>
      </w:r>
      <w:r w:rsidR="001201D1">
        <w:rPr>
          <w:rFonts w:ascii="Times New Roman" w:hAnsi="Times New Roman"/>
          <w:sz w:val="28"/>
          <w:szCs w:val="28"/>
        </w:rPr>
        <w:t>уточнением безвозмездных поступлений.</w:t>
      </w:r>
    </w:p>
    <w:p w:rsidR="001201D1" w:rsidRDefault="001201D1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целом доходная часть бюджета на 2020 год увеличивается на </w:t>
      </w:r>
      <w:r w:rsidR="00E84408">
        <w:rPr>
          <w:rFonts w:ascii="Times New Roman" w:hAnsi="Times New Roman"/>
          <w:sz w:val="28"/>
          <w:szCs w:val="28"/>
        </w:rPr>
        <w:t>104623,8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E84408">
        <w:rPr>
          <w:rFonts w:ascii="Times New Roman" w:hAnsi="Times New Roman"/>
          <w:sz w:val="28"/>
          <w:szCs w:val="28"/>
        </w:rPr>
        <w:t>10,8</w:t>
      </w:r>
      <w:r>
        <w:rPr>
          <w:rFonts w:ascii="Times New Roman" w:hAnsi="Times New Roman"/>
          <w:sz w:val="28"/>
          <w:szCs w:val="28"/>
        </w:rPr>
        <w:t xml:space="preserve"> %) и составит 1</w:t>
      </w:r>
      <w:r w:rsidR="00E84408">
        <w:rPr>
          <w:rFonts w:ascii="Times New Roman" w:hAnsi="Times New Roman"/>
          <w:sz w:val="28"/>
          <w:szCs w:val="28"/>
        </w:rPr>
        <w:t>073678,3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4250A">
        <w:rPr>
          <w:rFonts w:ascii="Times New Roman" w:hAnsi="Times New Roman"/>
          <w:sz w:val="28"/>
          <w:szCs w:val="28"/>
        </w:rPr>
        <w:t xml:space="preserve"> В плановом периоде</w:t>
      </w:r>
      <w:r w:rsidR="00B4250A" w:rsidRPr="00B4250A">
        <w:rPr>
          <w:rFonts w:ascii="Times New Roman" w:hAnsi="Times New Roman"/>
          <w:sz w:val="28"/>
          <w:szCs w:val="28"/>
        </w:rPr>
        <w:t>:</w:t>
      </w:r>
      <w:r w:rsidR="00B4250A">
        <w:rPr>
          <w:rFonts w:ascii="Times New Roman" w:hAnsi="Times New Roman"/>
          <w:sz w:val="28"/>
          <w:szCs w:val="28"/>
        </w:rPr>
        <w:t xml:space="preserve"> на 2021 год уменьшится на </w:t>
      </w:r>
      <w:r w:rsidR="00E84408">
        <w:rPr>
          <w:rFonts w:ascii="Times New Roman" w:hAnsi="Times New Roman"/>
          <w:sz w:val="28"/>
          <w:szCs w:val="28"/>
        </w:rPr>
        <w:t>74350,3</w:t>
      </w:r>
      <w:r w:rsidR="00B4250A">
        <w:rPr>
          <w:rFonts w:ascii="Times New Roman" w:hAnsi="Times New Roman"/>
          <w:sz w:val="28"/>
          <w:szCs w:val="28"/>
        </w:rPr>
        <w:t xml:space="preserve"> тыс. рублей</w:t>
      </w:r>
      <w:r w:rsidR="00E84408">
        <w:rPr>
          <w:rFonts w:ascii="Times New Roman" w:hAnsi="Times New Roman"/>
          <w:sz w:val="28"/>
          <w:szCs w:val="28"/>
        </w:rPr>
        <w:t xml:space="preserve"> (- 7,5 %)</w:t>
      </w:r>
      <w:r w:rsidR="00B4250A">
        <w:rPr>
          <w:rFonts w:ascii="Times New Roman" w:hAnsi="Times New Roman"/>
          <w:sz w:val="28"/>
          <w:szCs w:val="28"/>
        </w:rPr>
        <w:t xml:space="preserve"> и составит </w:t>
      </w:r>
      <w:r w:rsidR="00E84408">
        <w:rPr>
          <w:rFonts w:ascii="Times New Roman" w:hAnsi="Times New Roman"/>
          <w:sz w:val="28"/>
          <w:szCs w:val="28"/>
        </w:rPr>
        <w:t>918826,7</w:t>
      </w:r>
      <w:r w:rsidR="00B4250A">
        <w:rPr>
          <w:rFonts w:ascii="Times New Roman" w:hAnsi="Times New Roman"/>
          <w:sz w:val="28"/>
          <w:szCs w:val="28"/>
        </w:rPr>
        <w:t xml:space="preserve"> тыс. рублей, на 2022 год увеличится на 39877,8 тыс. рублей</w:t>
      </w:r>
      <w:r w:rsidR="00E84408">
        <w:rPr>
          <w:rFonts w:ascii="Times New Roman" w:hAnsi="Times New Roman"/>
          <w:sz w:val="28"/>
          <w:szCs w:val="28"/>
        </w:rPr>
        <w:t xml:space="preserve"> (+ 4,6 %)</w:t>
      </w:r>
      <w:r w:rsidR="00B4250A">
        <w:rPr>
          <w:rFonts w:ascii="Times New Roman" w:hAnsi="Times New Roman"/>
          <w:sz w:val="28"/>
          <w:szCs w:val="28"/>
        </w:rPr>
        <w:t xml:space="preserve"> и составит 900860,6 тыс. рублей. </w:t>
      </w:r>
    </w:p>
    <w:p w:rsidR="005F6CE1" w:rsidRDefault="005F6CE1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000"/>
        <w:gridCol w:w="910"/>
        <w:gridCol w:w="833"/>
        <w:gridCol w:w="1025"/>
        <w:gridCol w:w="923"/>
        <w:gridCol w:w="782"/>
        <w:gridCol w:w="1025"/>
        <w:gridCol w:w="910"/>
        <w:gridCol w:w="782"/>
      </w:tblGrid>
      <w:tr w:rsidR="005F6CE1" w:rsidRPr="005F6CE1" w:rsidTr="005F6CE1">
        <w:trPr>
          <w:trHeight w:val="300"/>
        </w:trPr>
        <w:tc>
          <w:tcPr>
            <w:tcW w:w="1680" w:type="dxa"/>
            <w:vMerge w:val="restart"/>
            <w:noWrap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20" w:type="dxa"/>
            <w:gridSpan w:val="3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Изменения на 2020 год</w:t>
            </w:r>
          </w:p>
        </w:tc>
        <w:tc>
          <w:tcPr>
            <w:tcW w:w="3900" w:type="dxa"/>
            <w:gridSpan w:val="3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Изменения на 2021 год</w:t>
            </w:r>
          </w:p>
        </w:tc>
        <w:tc>
          <w:tcPr>
            <w:tcW w:w="3880" w:type="dxa"/>
            <w:gridSpan w:val="3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Изменения на 2022 год</w:t>
            </w:r>
          </w:p>
        </w:tc>
      </w:tr>
      <w:tr w:rsidR="005F6CE1" w:rsidRPr="005F6CE1" w:rsidTr="005F6CE1">
        <w:trPr>
          <w:trHeight w:val="1380"/>
        </w:trPr>
        <w:tc>
          <w:tcPr>
            <w:tcW w:w="1680" w:type="dxa"/>
            <w:vMerge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Утверждено на 2020 год решением о бюджете от 11.12.2019 № 276 </w:t>
            </w:r>
          </w:p>
        </w:tc>
        <w:tc>
          <w:tcPr>
            <w:tcW w:w="13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Предлагаемые проектом изменения </w:t>
            </w:r>
          </w:p>
        </w:tc>
        <w:tc>
          <w:tcPr>
            <w:tcW w:w="1180" w:type="dxa"/>
            <w:noWrap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Утверждено на 2021 год решением о бюджете от 11.12.2019 № 276 </w:t>
            </w:r>
          </w:p>
        </w:tc>
        <w:tc>
          <w:tcPr>
            <w:tcW w:w="132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Предлагаемые проектом изменения </w:t>
            </w:r>
          </w:p>
        </w:tc>
        <w:tc>
          <w:tcPr>
            <w:tcW w:w="11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Утверждено на 2021 год решением о бюджете от 11.12.2019 № 276 </w:t>
            </w:r>
          </w:p>
        </w:tc>
        <w:tc>
          <w:tcPr>
            <w:tcW w:w="13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Предлагаемые проектом изменения </w:t>
            </w:r>
          </w:p>
        </w:tc>
        <w:tc>
          <w:tcPr>
            <w:tcW w:w="11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</w:tr>
      <w:tr w:rsidR="005F6CE1" w:rsidRPr="005F6CE1" w:rsidTr="006E54F8">
        <w:trPr>
          <w:trHeight w:val="525"/>
        </w:trPr>
        <w:tc>
          <w:tcPr>
            <w:tcW w:w="16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5F6CE1">
              <w:rPr>
                <w:rFonts w:ascii="Times New Roman" w:hAnsi="Times New Roman"/>
                <w:sz w:val="16"/>
                <w:szCs w:val="16"/>
              </w:rPr>
              <w:t>твс</w:t>
            </w:r>
            <w:proofErr w:type="spellEnd"/>
            <w:r w:rsidRPr="005F6CE1">
              <w:rPr>
                <w:rFonts w:ascii="Times New Roman" w:hAnsi="Times New Roman"/>
                <w:sz w:val="16"/>
                <w:szCs w:val="16"/>
              </w:rPr>
              <w:t>. руб.)</w:t>
            </w:r>
          </w:p>
        </w:tc>
        <w:tc>
          <w:tcPr>
            <w:tcW w:w="144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969054,5</w:t>
            </w:r>
          </w:p>
        </w:tc>
        <w:tc>
          <w:tcPr>
            <w:tcW w:w="1300" w:type="dxa"/>
            <w:noWrap/>
          </w:tcPr>
          <w:p w:rsidR="005F6CE1" w:rsidRPr="005F6CE1" w:rsidRDefault="006E54F8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1073678,3</w:t>
            </w:r>
          </w:p>
        </w:tc>
        <w:tc>
          <w:tcPr>
            <w:tcW w:w="1180" w:type="dxa"/>
            <w:noWrap/>
          </w:tcPr>
          <w:p w:rsidR="005F6CE1" w:rsidRPr="005F6CE1" w:rsidRDefault="006E54F8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104623,8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993177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20" w:type="dxa"/>
            <w:hideMark/>
          </w:tcPr>
          <w:p w:rsidR="005F6CE1" w:rsidRPr="005F6CE1" w:rsidRDefault="006E54F8" w:rsidP="006E5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918826,7</w:t>
            </w:r>
          </w:p>
        </w:tc>
        <w:tc>
          <w:tcPr>
            <w:tcW w:w="1100" w:type="dxa"/>
            <w:hideMark/>
          </w:tcPr>
          <w:p w:rsidR="005F6CE1" w:rsidRPr="005F6CE1" w:rsidRDefault="005F6CE1" w:rsidP="006E5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-</w:t>
            </w:r>
            <w:r w:rsidR="006E54F8">
              <w:rPr>
                <w:rFonts w:ascii="Times New Roman" w:hAnsi="Times New Roman"/>
                <w:sz w:val="16"/>
                <w:szCs w:val="16"/>
              </w:rPr>
              <w:t>74350,3</w:t>
            </w:r>
          </w:p>
        </w:tc>
        <w:tc>
          <w:tcPr>
            <w:tcW w:w="14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860982,8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900860,6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39877,8</w:t>
            </w:r>
          </w:p>
        </w:tc>
      </w:tr>
      <w:tr w:rsidR="005F6CE1" w:rsidRPr="005F6CE1" w:rsidTr="005F6CE1">
        <w:trPr>
          <w:trHeight w:val="595"/>
        </w:trPr>
        <w:tc>
          <w:tcPr>
            <w:tcW w:w="16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44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357859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357859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365088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2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365088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377681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377681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6CE1" w:rsidRPr="005F6CE1" w:rsidTr="006E54F8">
        <w:trPr>
          <w:trHeight w:val="525"/>
        </w:trPr>
        <w:tc>
          <w:tcPr>
            <w:tcW w:w="16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4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611195,5</w:t>
            </w:r>
          </w:p>
        </w:tc>
        <w:tc>
          <w:tcPr>
            <w:tcW w:w="1300" w:type="dxa"/>
            <w:noWrap/>
          </w:tcPr>
          <w:p w:rsidR="005F6CE1" w:rsidRPr="005F6CE1" w:rsidRDefault="006E54F8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715819,3</w:t>
            </w:r>
          </w:p>
        </w:tc>
        <w:tc>
          <w:tcPr>
            <w:tcW w:w="1180" w:type="dxa"/>
            <w:noWrap/>
          </w:tcPr>
          <w:p w:rsidR="005F6CE1" w:rsidRPr="005F6CE1" w:rsidRDefault="006E54F8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104623,8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628089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20" w:type="dxa"/>
            <w:noWrap/>
            <w:hideMark/>
          </w:tcPr>
          <w:p w:rsidR="005F6CE1" w:rsidRPr="005F6CE1" w:rsidRDefault="006E54F8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553738,7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6E54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-</w:t>
            </w:r>
            <w:r w:rsidR="006E54F8">
              <w:rPr>
                <w:rFonts w:ascii="Times New Roman" w:hAnsi="Times New Roman"/>
                <w:sz w:val="16"/>
                <w:szCs w:val="16"/>
              </w:rPr>
              <w:t>74350,3</w:t>
            </w:r>
          </w:p>
        </w:tc>
        <w:tc>
          <w:tcPr>
            <w:tcW w:w="14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483301,8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523179,6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39877,8</w:t>
            </w:r>
          </w:p>
        </w:tc>
      </w:tr>
    </w:tbl>
    <w:p w:rsidR="005F6CE1" w:rsidRDefault="005F6CE1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ACE" w:rsidRDefault="001968D1" w:rsidP="007E5A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Общий объем безвозмездных поступлений в 2020 году увеличивается на </w:t>
      </w:r>
      <w:r w:rsidR="006E54F8">
        <w:rPr>
          <w:rFonts w:ascii="Times New Roman" w:hAnsi="Times New Roman"/>
          <w:sz w:val="28"/>
          <w:szCs w:val="28"/>
        </w:rPr>
        <w:t>104623,8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251080">
        <w:rPr>
          <w:rFonts w:ascii="Times New Roman" w:hAnsi="Times New Roman"/>
          <w:sz w:val="28"/>
          <w:szCs w:val="28"/>
        </w:rPr>
        <w:t xml:space="preserve"> или на </w:t>
      </w:r>
      <w:r w:rsidR="006E54F8">
        <w:rPr>
          <w:rFonts w:ascii="Times New Roman" w:hAnsi="Times New Roman"/>
          <w:sz w:val="28"/>
          <w:szCs w:val="28"/>
        </w:rPr>
        <w:t>17,1</w:t>
      </w:r>
      <w:r w:rsidR="00251080">
        <w:rPr>
          <w:rFonts w:ascii="Times New Roman" w:hAnsi="Times New Roman"/>
          <w:sz w:val="28"/>
          <w:szCs w:val="28"/>
        </w:rPr>
        <w:t xml:space="preserve"> %</w:t>
      </w:r>
      <w:r w:rsidR="007E5A3E">
        <w:rPr>
          <w:rFonts w:ascii="Times New Roman" w:hAnsi="Times New Roman"/>
          <w:sz w:val="28"/>
          <w:szCs w:val="28"/>
        </w:rPr>
        <w:t>,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в том числе: дотации на </w:t>
      </w:r>
      <w:r w:rsidR="006E54F8">
        <w:rPr>
          <w:rFonts w:ascii="Times New Roman" w:eastAsia="Calibri" w:hAnsi="Times New Roman"/>
          <w:sz w:val="28"/>
          <w:szCs w:val="28"/>
        </w:rPr>
        <w:t>20212,5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тыс. рублей, субсидии на </w:t>
      </w:r>
      <w:r w:rsidR="006E54F8">
        <w:rPr>
          <w:rFonts w:ascii="Times New Roman" w:eastAsia="Calibri" w:hAnsi="Times New Roman"/>
          <w:sz w:val="28"/>
          <w:szCs w:val="28"/>
        </w:rPr>
        <w:t>70267,1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тыс. рублей, субвенции на 14112,0 тыс. рублей, иные межбюджетные трансферты на 32,2 тыс. рублей.</w:t>
      </w:r>
      <w:r w:rsidR="007E5A3E">
        <w:rPr>
          <w:rFonts w:ascii="Times New Roman" w:eastAsia="Calibri" w:hAnsi="Times New Roman"/>
          <w:sz w:val="28"/>
          <w:szCs w:val="28"/>
        </w:rPr>
        <w:t xml:space="preserve"> </w:t>
      </w:r>
      <w:r w:rsidR="007E5A3E">
        <w:rPr>
          <w:rFonts w:ascii="Times New Roman" w:hAnsi="Times New Roman"/>
          <w:sz w:val="28"/>
          <w:szCs w:val="28"/>
        </w:rPr>
        <w:t xml:space="preserve">Общий объем безвозмездных поступлений </w:t>
      </w:r>
      <w:r w:rsidR="00251080">
        <w:rPr>
          <w:rFonts w:ascii="Times New Roman" w:hAnsi="Times New Roman"/>
          <w:sz w:val="28"/>
          <w:szCs w:val="28"/>
        </w:rPr>
        <w:t xml:space="preserve">составит </w:t>
      </w:r>
      <w:r w:rsidR="006E54F8">
        <w:rPr>
          <w:rFonts w:ascii="Times New Roman" w:hAnsi="Times New Roman"/>
          <w:sz w:val="28"/>
          <w:szCs w:val="28"/>
        </w:rPr>
        <w:t>715819,3</w:t>
      </w:r>
      <w:r w:rsidR="00251080">
        <w:rPr>
          <w:rFonts w:ascii="Times New Roman" w:hAnsi="Times New Roman"/>
          <w:sz w:val="28"/>
          <w:szCs w:val="28"/>
        </w:rPr>
        <w:t xml:space="preserve"> тыс. рублей. </w:t>
      </w:r>
      <w:r w:rsidR="00902ACE">
        <w:rPr>
          <w:rFonts w:ascii="Times New Roman" w:hAnsi="Times New Roman"/>
          <w:sz w:val="28"/>
          <w:szCs w:val="28"/>
        </w:rPr>
        <w:t>Доля безвозмездных поступлений</w:t>
      </w:r>
      <w:r w:rsidR="00251080">
        <w:rPr>
          <w:rFonts w:ascii="Times New Roman" w:hAnsi="Times New Roman"/>
          <w:sz w:val="28"/>
          <w:szCs w:val="28"/>
        </w:rPr>
        <w:t xml:space="preserve"> в общем объеме доходов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68365C">
        <w:rPr>
          <w:rFonts w:ascii="Times New Roman" w:hAnsi="Times New Roman"/>
          <w:sz w:val="28"/>
          <w:szCs w:val="28"/>
        </w:rPr>
        <w:t>составит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6E54F8">
        <w:rPr>
          <w:rFonts w:ascii="Times New Roman" w:hAnsi="Times New Roman"/>
          <w:sz w:val="28"/>
          <w:szCs w:val="28"/>
        </w:rPr>
        <w:t>66,7</w:t>
      </w:r>
      <w:r w:rsidR="00902ACE">
        <w:rPr>
          <w:rFonts w:ascii="Times New Roman" w:hAnsi="Times New Roman"/>
          <w:sz w:val="28"/>
          <w:szCs w:val="28"/>
        </w:rPr>
        <w:t xml:space="preserve"> %.</w:t>
      </w:r>
    </w:p>
    <w:p w:rsidR="00902ACE" w:rsidRDefault="00902ACE" w:rsidP="007E5A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Общий объем безвозмездных поступлений в 2021 году уменьшится на </w:t>
      </w:r>
      <w:r w:rsidR="006E54F8">
        <w:rPr>
          <w:rFonts w:ascii="Times New Roman" w:hAnsi="Times New Roman"/>
          <w:sz w:val="28"/>
          <w:szCs w:val="28"/>
        </w:rPr>
        <w:t>74350,3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68365C">
        <w:rPr>
          <w:rFonts w:ascii="Times New Roman" w:hAnsi="Times New Roman"/>
          <w:sz w:val="28"/>
          <w:szCs w:val="28"/>
        </w:rPr>
        <w:t xml:space="preserve">или на </w:t>
      </w:r>
      <w:r w:rsidR="006E54F8">
        <w:rPr>
          <w:rFonts w:ascii="Times New Roman" w:hAnsi="Times New Roman"/>
          <w:sz w:val="28"/>
          <w:szCs w:val="28"/>
        </w:rPr>
        <w:t>11,8</w:t>
      </w:r>
      <w:r w:rsidR="0068365C">
        <w:rPr>
          <w:rFonts w:ascii="Times New Roman" w:hAnsi="Times New Roman"/>
          <w:sz w:val="28"/>
          <w:szCs w:val="28"/>
        </w:rPr>
        <w:t xml:space="preserve"> %</w:t>
      </w:r>
      <w:r w:rsidR="007E5A3E">
        <w:rPr>
          <w:rFonts w:ascii="Times New Roman" w:eastAsia="Calibri" w:hAnsi="Times New Roman"/>
          <w:sz w:val="28"/>
          <w:szCs w:val="28"/>
        </w:rPr>
        <w:t xml:space="preserve">,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при этом: субсидии </w:t>
      </w:r>
      <w:r w:rsidR="00C47B41">
        <w:rPr>
          <w:rFonts w:ascii="Times New Roman" w:eastAsia="Calibri" w:hAnsi="Times New Roman"/>
          <w:sz w:val="28"/>
          <w:szCs w:val="28"/>
        </w:rPr>
        <w:t xml:space="preserve">сократятся 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на </w:t>
      </w:r>
      <w:r w:rsidR="006E54F8">
        <w:rPr>
          <w:rFonts w:ascii="Times New Roman" w:eastAsia="Calibri" w:hAnsi="Times New Roman"/>
          <w:sz w:val="28"/>
          <w:szCs w:val="28"/>
        </w:rPr>
        <w:t>89243,2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тыс. рублей, субвенции увеличатся на 15811,5 тыс. рублей, иные межбюджетные трансферты </w:t>
      </w:r>
      <w:r w:rsidR="00C47B41">
        <w:rPr>
          <w:rFonts w:ascii="Times New Roman" w:eastAsia="Calibri" w:hAnsi="Times New Roman"/>
          <w:sz w:val="28"/>
          <w:szCs w:val="28"/>
        </w:rPr>
        <w:t>сократятся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на 918,6 тыс. рублей.</w:t>
      </w:r>
      <w:r w:rsidR="007E5A3E" w:rsidRPr="007E5A3E">
        <w:rPr>
          <w:rFonts w:ascii="Times New Roman" w:hAnsi="Times New Roman"/>
          <w:sz w:val="28"/>
          <w:szCs w:val="28"/>
        </w:rPr>
        <w:t xml:space="preserve"> </w:t>
      </w:r>
      <w:r w:rsidR="007E5A3E" w:rsidRPr="007E5A3E">
        <w:rPr>
          <w:rFonts w:ascii="Times New Roman" w:eastAsia="Calibri" w:hAnsi="Times New Roman"/>
          <w:sz w:val="28"/>
          <w:szCs w:val="28"/>
        </w:rPr>
        <w:t>Общий объем безвозмездных поступлений</w:t>
      </w:r>
      <w:r w:rsidR="007E5A3E">
        <w:rPr>
          <w:rFonts w:ascii="Times New Roman" w:eastAsia="Calibri" w:hAnsi="Times New Roman"/>
          <w:sz w:val="28"/>
          <w:szCs w:val="28"/>
        </w:rPr>
        <w:t xml:space="preserve"> с</w:t>
      </w:r>
      <w:r w:rsidR="0068365C">
        <w:rPr>
          <w:rFonts w:ascii="Times New Roman" w:hAnsi="Times New Roman"/>
          <w:sz w:val="28"/>
          <w:szCs w:val="28"/>
        </w:rPr>
        <w:t xml:space="preserve">оставит </w:t>
      </w:r>
      <w:r w:rsidR="006E54F8">
        <w:rPr>
          <w:rFonts w:ascii="Times New Roman" w:hAnsi="Times New Roman"/>
          <w:sz w:val="28"/>
          <w:szCs w:val="28"/>
        </w:rPr>
        <w:t>553738,7</w:t>
      </w:r>
      <w:r w:rsidR="0068365C">
        <w:rPr>
          <w:rFonts w:ascii="Times New Roman" w:hAnsi="Times New Roman"/>
          <w:sz w:val="28"/>
          <w:szCs w:val="28"/>
        </w:rPr>
        <w:t xml:space="preserve"> тыс. рублей.</w:t>
      </w:r>
      <w:r w:rsidRPr="0090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безвозмездных поступлений </w:t>
      </w:r>
      <w:r w:rsidR="006E54F8">
        <w:rPr>
          <w:rFonts w:ascii="Times New Roman" w:hAnsi="Times New Roman"/>
          <w:sz w:val="28"/>
          <w:szCs w:val="28"/>
        </w:rPr>
        <w:t>–</w:t>
      </w:r>
      <w:r w:rsidR="0068365C">
        <w:rPr>
          <w:rFonts w:ascii="Times New Roman" w:hAnsi="Times New Roman"/>
          <w:sz w:val="28"/>
          <w:szCs w:val="28"/>
        </w:rPr>
        <w:t xml:space="preserve"> </w:t>
      </w:r>
      <w:r w:rsidR="006E54F8">
        <w:rPr>
          <w:rFonts w:ascii="Times New Roman" w:hAnsi="Times New Roman"/>
          <w:sz w:val="28"/>
          <w:szCs w:val="28"/>
        </w:rPr>
        <w:t>60,3</w:t>
      </w:r>
      <w:r>
        <w:rPr>
          <w:rFonts w:ascii="Times New Roman" w:hAnsi="Times New Roman"/>
          <w:sz w:val="28"/>
          <w:szCs w:val="28"/>
        </w:rPr>
        <w:t xml:space="preserve"> %.       </w:t>
      </w:r>
    </w:p>
    <w:p w:rsidR="00550AC6" w:rsidRDefault="00902ACE" w:rsidP="007E5A3E">
      <w:pPr>
        <w:jc w:val="both"/>
        <w:rPr>
          <w:rFonts w:ascii="Times New Roman" w:hAnsi="Times New Roman"/>
          <w:sz w:val="28"/>
          <w:szCs w:val="28"/>
        </w:rPr>
      </w:pPr>
      <w:r w:rsidRPr="00902ACE">
        <w:rPr>
          <w:rFonts w:ascii="Times New Roman" w:hAnsi="Times New Roman"/>
          <w:sz w:val="28"/>
          <w:szCs w:val="28"/>
        </w:rPr>
        <w:t xml:space="preserve">       Общий объем безвозмездных поступлений в 202</w:t>
      </w:r>
      <w:r>
        <w:rPr>
          <w:rFonts w:ascii="Times New Roman" w:hAnsi="Times New Roman"/>
          <w:sz w:val="28"/>
          <w:szCs w:val="28"/>
        </w:rPr>
        <w:t>2</w:t>
      </w:r>
      <w:r w:rsidRPr="00902ACE">
        <w:rPr>
          <w:rFonts w:ascii="Times New Roman" w:hAnsi="Times New Roman"/>
          <w:sz w:val="28"/>
          <w:szCs w:val="28"/>
        </w:rPr>
        <w:t xml:space="preserve"> году у</w:t>
      </w:r>
      <w:r>
        <w:rPr>
          <w:rFonts w:ascii="Times New Roman" w:hAnsi="Times New Roman"/>
          <w:sz w:val="28"/>
          <w:szCs w:val="28"/>
        </w:rPr>
        <w:t>величится</w:t>
      </w:r>
      <w:r w:rsidRPr="00902AC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39877,8</w:t>
      </w:r>
      <w:r w:rsidRPr="00902ACE">
        <w:rPr>
          <w:rFonts w:ascii="Times New Roman" w:hAnsi="Times New Roman"/>
          <w:sz w:val="28"/>
          <w:szCs w:val="28"/>
        </w:rPr>
        <w:t xml:space="preserve"> тыс. рублей, </w:t>
      </w:r>
      <w:r w:rsidR="0068365C">
        <w:rPr>
          <w:rFonts w:ascii="Times New Roman" w:hAnsi="Times New Roman"/>
          <w:sz w:val="28"/>
          <w:szCs w:val="28"/>
        </w:rPr>
        <w:t>или на 8,3 %</w:t>
      </w:r>
      <w:r w:rsidR="007E5A3E">
        <w:rPr>
          <w:rFonts w:ascii="Times New Roman" w:hAnsi="Times New Roman"/>
          <w:sz w:val="28"/>
          <w:szCs w:val="28"/>
        </w:rPr>
        <w:t>,</w:t>
      </w:r>
      <w:r w:rsidR="0068365C">
        <w:rPr>
          <w:rFonts w:ascii="Times New Roman" w:hAnsi="Times New Roman"/>
          <w:sz w:val="28"/>
          <w:szCs w:val="28"/>
        </w:rPr>
        <w:t xml:space="preserve"> </w:t>
      </w:r>
      <w:r w:rsidR="007E5A3E" w:rsidRPr="007E5A3E">
        <w:rPr>
          <w:rFonts w:ascii="Times New Roman" w:eastAsia="Calibri" w:hAnsi="Times New Roman"/>
          <w:sz w:val="28"/>
          <w:szCs w:val="28"/>
        </w:rPr>
        <w:t>при этом: субсидии увеличатся на 25000,0 тыс. рублей, субвенции увеличатся на 15811,5 тыс. рублей, иные межбюджетные трансферты уменьшатся на 933,7 тыс. рублей. Общий объем безвозмездных поступлений</w:t>
      </w:r>
      <w:r w:rsidR="007E5A3E">
        <w:rPr>
          <w:rFonts w:ascii="Times New Roman" w:eastAsia="Calibri" w:hAnsi="Times New Roman"/>
          <w:sz w:val="28"/>
          <w:szCs w:val="28"/>
        </w:rPr>
        <w:t xml:space="preserve"> с</w:t>
      </w:r>
      <w:r w:rsidR="0068365C">
        <w:rPr>
          <w:rFonts w:ascii="Times New Roman" w:hAnsi="Times New Roman"/>
          <w:sz w:val="28"/>
          <w:szCs w:val="28"/>
        </w:rPr>
        <w:t xml:space="preserve">оставит 523179,6 тыс. рублей. </w:t>
      </w:r>
      <w:r>
        <w:rPr>
          <w:rFonts w:ascii="Times New Roman" w:hAnsi="Times New Roman"/>
          <w:sz w:val="28"/>
          <w:szCs w:val="28"/>
        </w:rPr>
        <w:t>Доля безвозмезд</w:t>
      </w:r>
      <w:r w:rsidR="00550AC6">
        <w:rPr>
          <w:rFonts w:ascii="Times New Roman" w:hAnsi="Times New Roman"/>
          <w:sz w:val="28"/>
          <w:szCs w:val="28"/>
        </w:rPr>
        <w:t>ных поступлений составит 58,1%.</w:t>
      </w:r>
    </w:p>
    <w:p w:rsidR="00550AC6" w:rsidRDefault="00550AC6" w:rsidP="007E5A3E">
      <w:pPr>
        <w:jc w:val="both"/>
        <w:rPr>
          <w:rFonts w:ascii="Times New Roman" w:hAnsi="Times New Roman"/>
          <w:sz w:val="28"/>
          <w:szCs w:val="28"/>
        </w:rPr>
      </w:pPr>
      <w:r w:rsidRPr="00C47B41">
        <w:rPr>
          <w:rFonts w:ascii="Times New Roman" w:hAnsi="Times New Roman"/>
          <w:sz w:val="28"/>
          <w:szCs w:val="28"/>
        </w:rPr>
        <w:t>Целевое назначение безвозмездных поступлений представлено в пояснительной записке к проекту решения.</w:t>
      </w:r>
    </w:p>
    <w:p w:rsidR="00B874E8" w:rsidRDefault="001968D1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 </w:t>
      </w:r>
      <w:r w:rsidR="00664FBC" w:rsidRPr="00645ACC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3F59B5">
        <w:rPr>
          <w:rFonts w:ascii="Times New Roman" w:hAnsi="Times New Roman"/>
          <w:sz w:val="28"/>
          <w:szCs w:val="28"/>
        </w:rPr>
        <w:t>0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6E54F8">
        <w:rPr>
          <w:rFonts w:ascii="Times New Roman" w:hAnsi="Times New Roman"/>
          <w:sz w:val="28"/>
          <w:szCs w:val="28"/>
        </w:rPr>
        <w:t>119075,5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6E54F8">
        <w:rPr>
          <w:rFonts w:ascii="Times New Roman" w:hAnsi="Times New Roman"/>
          <w:sz w:val="28"/>
          <w:szCs w:val="28"/>
        </w:rPr>
        <w:t xml:space="preserve">12,3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6E54F8">
        <w:rPr>
          <w:rFonts w:ascii="Times New Roman" w:hAnsi="Times New Roman"/>
          <w:sz w:val="28"/>
          <w:szCs w:val="28"/>
        </w:rPr>
        <w:t>088130,0</w:t>
      </w:r>
      <w:r w:rsidR="003F59B5">
        <w:rPr>
          <w:rFonts w:ascii="Times New Roman" w:hAnsi="Times New Roman"/>
          <w:sz w:val="28"/>
          <w:szCs w:val="28"/>
        </w:rPr>
        <w:t xml:space="preserve"> тыс. рублей.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>части связано с уточнением</w:t>
      </w:r>
      <w:r w:rsidR="00251080">
        <w:rPr>
          <w:rFonts w:ascii="Times New Roman" w:hAnsi="Times New Roman"/>
          <w:sz w:val="28"/>
          <w:szCs w:val="28"/>
        </w:rPr>
        <w:t xml:space="preserve"> безвозмездных поступлений, а также </w:t>
      </w:r>
      <w:r w:rsidR="00E25F05">
        <w:rPr>
          <w:rFonts w:ascii="Times New Roman" w:hAnsi="Times New Roman"/>
          <w:sz w:val="28"/>
          <w:szCs w:val="28"/>
        </w:rPr>
        <w:t xml:space="preserve">с </w:t>
      </w:r>
      <w:r w:rsidR="00251080">
        <w:rPr>
          <w:rFonts w:ascii="Times New Roman" w:hAnsi="Times New Roman"/>
          <w:sz w:val="28"/>
          <w:szCs w:val="28"/>
        </w:rPr>
        <w:t>корректировк</w:t>
      </w:r>
      <w:r w:rsidR="00E25F05">
        <w:rPr>
          <w:rFonts w:ascii="Times New Roman" w:hAnsi="Times New Roman"/>
          <w:sz w:val="28"/>
          <w:szCs w:val="28"/>
        </w:rPr>
        <w:t>ой</w:t>
      </w:r>
      <w:r w:rsidR="00251080">
        <w:rPr>
          <w:rFonts w:ascii="Times New Roman" w:hAnsi="Times New Roman"/>
          <w:sz w:val="28"/>
          <w:szCs w:val="28"/>
        </w:rPr>
        <w:t xml:space="preserve"> назначений за счет собственных доходов. </w:t>
      </w:r>
    </w:p>
    <w:p w:rsidR="00251080" w:rsidRDefault="00251080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645ACC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322FFF">
        <w:rPr>
          <w:rFonts w:ascii="Times New Roman" w:hAnsi="Times New Roman"/>
          <w:sz w:val="28"/>
          <w:szCs w:val="28"/>
        </w:rPr>
        <w:t xml:space="preserve">3203,1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7E5A3E">
        <w:rPr>
          <w:rFonts w:ascii="Times New Roman" w:hAnsi="Times New Roman"/>
          <w:sz w:val="28"/>
          <w:szCs w:val="28"/>
        </w:rPr>
        <w:t xml:space="preserve">, или на </w:t>
      </w:r>
      <w:r w:rsidR="00322FFF">
        <w:rPr>
          <w:rFonts w:ascii="Times New Roman" w:hAnsi="Times New Roman"/>
          <w:sz w:val="28"/>
          <w:szCs w:val="28"/>
        </w:rPr>
        <w:t>4,3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F339BA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="00322FFF"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68365C" w:rsidRPr="00645ACC" w:rsidRDefault="0068365C" w:rsidP="00322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-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расходы подраздела 03 </w:t>
      </w:r>
      <w:r w:rsidRPr="00D564AF">
        <w:rPr>
          <w:rFonts w:ascii="Times New Roman" w:hAnsi="Times New Roman"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645ACC">
        <w:rPr>
          <w:rFonts w:ascii="Times New Roman" w:hAnsi="Times New Roman"/>
          <w:sz w:val="28"/>
          <w:szCs w:val="28"/>
        </w:rPr>
        <w:t xml:space="preserve"> увеличиваются на </w:t>
      </w:r>
      <w:r w:rsidR="00322FFF">
        <w:rPr>
          <w:rFonts w:ascii="Times New Roman" w:hAnsi="Times New Roman"/>
          <w:sz w:val="28"/>
          <w:szCs w:val="28"/>
        </w:rPr>
        <w:t>165,6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(+</w:t>
      </w:r>
      <w:r w:rsidR="00322FFF">
        <w:rPr>
          <w:rFonts w:ascii="Times New Roman" w:hAnsi="Times New Roman"/>
          <w:sz w:val="28"/>
          <w:szCs w:val="28"/>
        </w:rPr>
        <w:t>6,2</w:t>
      </w:r>
      <w:r w:rsidRPr="00645ACC">
        <w:rPr>
          <w:rFonts w:ascii="Times New Roman" w:hAnsi="Times New Roman"/>
          <w:sz w:val="28"/>
          <w:szCs w:val="28"/>
        </w:rPr>
        <w:t xml:space="preserve"> %),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- расходы подраздела </w:t>
      </w:r>
      <w:r w:rsidRPr="00D564AF">
        <w:rPr>
          <w:rFonts w:ascii="Times New Roman" w:hAnsi="Times New Roman"/>
          <w:i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645ACC">
        <w:rPr>
          <w:rFonts w:ascii="Times New Roman" w:hAnsi="Times New Roman"/>
          <w:sz w:val="28"/>
          <w:szCs w:val="28"/>
        </w:rPr>
        <w:t xml:space="preserve">» увеличиваются на </w:t>
      </w:r>
      <w:r w:rsidR="00322FFF">
        <w:rPr>
          <w:rFonts w:ascii="Times New Roman" w:hAnsi="Times New Roman"/>
          <w:sz w:val="28"/>
          <w:szCs w:val="28"/>
        </w:rPr>
        <w:t>1488,1</w:t>
      </w:r>
      <w:r w:rsidRPr="00645ACC">
        <w:rPr>
          <w:rFonts w:ascii="Times New Roman" w:hAnsi="Times New Roman"/>
          <w:sz w:val="28"/>
          <w:szCs w:val="28"/>
        </w:rPr>
        <w:t xml:space="preserve"> тыс</w:t>
      </w:r>
      <w:r w:rsidR="00322FFF">
        <w:rPr>
          <w:rFonts w:ascii="Times New Roman" w:hAnsi="Times New Roman"/>
          <w:sz w:val="28"/>
          <w:szCs w:val="28"/>
        </w:rPr>
        <w:t xml:space="preserve">.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322FFF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или на </w:t>
      </w:r>
      <w:r w:rsidR="00322FFF">
        <w:rPr>
          <w:rFonts w:ascii="Times New Roman" w:hAnsi="Times New Roman"/>
          <w:sz w:val="28"/>
          <w:szCs w:val="28"/>
        </w:rPr>
        <w:t>4,7</w:t>
      </w:r>
      <w:r w:rsidRPr="00645ACC">
        <w:rPr>
          <w:rFonts w:ascii="Times New Roman" w:hAnsi="Times New Roman"/>
          <w:sz w:val="28"/>
          <w:szCs w:val="28"/>
        </w:rPr>
        <w:t xml:space="preserve"> %.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-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Pr="00D564AF">
        <w:rPr>
          <w:rFonts w:ascii="Times New Roman" w:hAnsi="Times New Roman"/>
          <w:i/>
          <w:sz w:val="28"/>
          <w:szCs w:val="28"/>
        </w:rPr>
        <w:t>06</w:t>
      </w:r>
      <w:r w:rsidR="00322FFF" w:rsidRPr="00D564AF">
        <w:rPr>
          <w:rFonts w:ascii="Times New Roman" w:hAnsi="Times New Roman"/>
          <w:i/>
          <w:sz w:val="28"/>
          <w:szCs w:val="28"/>
        </w:rPr>
        <w:t xml:space="preserve"> </w:t>
      </w:r>
      <w:r w:rsidRPr="00D564AF">
        <w:rPr>
          <w:rFonts w:ascii="Times New Roman" w:hAnsi="Times New Roman"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645ACC">
        <w:rPr>
          <w:rFonts w:ascii="Times New Roman" w:hAnsi="Times New Roman"/>
          <w:sz w:val="28"/>
          <w:szCs w:val="28"/>
        </w:rPr>
        <w:t xml:space="preserve"> увеличиваются на </w:t>
      </w:r>
      <w:r w:rsidR="00322FFF">
        <w:rPr>
          <w:rFonts w:ascii="Times New Roman" w:hAnsi="Times New Roman"/>
          <w:sz w:val="28"/>
          <w:szCs w:val="28"/>
        </w:rPr>
        <w:t>402,3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322FFF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или на </w:t>
      </w:r>
      <w:r w:rsidR="00322FFF">
        <w:rPr>
          <w:rFonts w:ascii="Times New Roman" w:hAnsi="Times New Roman"/>
          <w:sz w:val="28"/>
          <w:szCs w:val="28"/>
        </w:rPr>
        <w:t>5,9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322FFF">
        <w:rPr>
          <w:rFonts w:ascii="Times New Roman" w:hAnsi="Times New Roman"/>
          <w:sz w:val="28"/>
          <w:szCs w:val="28"/>
        </w:rPr>
        <w:t>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 xml:space="preserve">- расходы раздела </w:t>
      </w:r>
      <w:r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 w:rsidR="00322FFF">
        <w:rPr>
          <w:rFonts w:ascii="Times New Roman" w:hAnsi="Times New Roman"/>
          <w:sz w:val="28"/>
          <w:szCs w:val="28"/>
        </w:rPr>
        <w:t>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322FFF">
        <w:rPr>
          <w:rFonts w:ascii="Times New Roman" w:hAnsi="Times New Roman"/>
          <w:sz w:val="28"/>
          <w:szCs w:val="28"/>
        </w:rPr>
        <w:t>1147,1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F339BA">
        <w:rPr>
          <w:rFonts w:ascii="Times New Roman" w:hAnsi="Times New Roman"/>
          <w:sz w:val="28"/>
          <w:szCs w:val="28"/>
        </w:rPr>
        <w:t xml:space="preserve"> (+4,0%)</w:t>
      </w:r>
      <w:r w:rsidR="00322FFF">
        <w:rPr>
          <w:rFonts w:ascii="Times New Roman" w:hAnsi="Times New Roman"/>
          <w:sz w:val="28"/>
          <w:szCs w:val="28"/>
        </w:rPr>
        <w:t xml:space="preserve">. 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Увеличение расходов </w:t>
      </w:r>
      <w:r w:rsidR="007E5A3E">
        <w:rPr>
          <w:rFonts w:ascii="Times New Roman" w:hAnsi="Times New Roman"/>
          <w:sz w:val="28"/>
          <w:szCs w:val="28"/>
        </w:rPr>
        <w:t xml:space="preserve">произведено за счет межбюджетных трансфертов, поступающих из </w:t>
      </w:r>
      <w:r w:rsidRPr="00645ACC">
        <w:rPr>
          <w:rFonts w:ascii="Times New Roman" w:hAnsi="Times New Roman"/>
          <w:sz w:val="28"/>
          <w:szCs w:val="28"/>
        </w:rPr>
        <w:t>областного бюджета</w:t>
      </w:r>
      <w:r w:rsidR="00E25F05">
        <w:rPr>
          <w:rFonts w:ascii="Times New Roman" w:hAnsi="Times New Roman"/>
          <w:sz w:val="28"/>
          <w:szCs w:val="28"/>
        </w:rPr>
        <w:t xml:space="preserve">, в том числе на оплату труда </w:t>
      </w:r>
      <w:r w:rsidR="000B4C9F">
        <w:rPr>
          <w:rFonts w:ascii="Times New Roman" w:hAnsi="Times New Roman"/>
          <w:sz w:val="28"/>
          <w:szCs w:val="28"/>
        </w:rPr>
        <w:t xml:space="preserve">не </w:t>
      </w:r>
      <w:bookmarkStart w:id="0" w:name="_GoBack"/>
      <w:bookmarkEnd w:id="0"/>
      <w:r w:rsidR="00E25F05">
        <w:rPr>
          <w:rFonts w:ascii="Times New Roman" w:hAnsi="Times New Roman"/>
          <w:sz w:val="28"/>
          <w:szCs w:val="28"/>
        </w:rPr>
        <w:t>муниципальных служащих</w:t>
      </w:r>
      <w:r w:rsidR="00C756DE">
        <w:rPr>
          <w:rFonts w:ascii="Times New Roman" w:hAnsi="Times New Roman"/>
          <w:sz w:val="28"/>
          <w:szCs w:val="28"/>
        </w:rPr>
        <w:t xml:space="preserve">. </w:t>
      </w: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F339BA">
        <w:rPr>
          <w:rFonts w:ascii="Times New Roman" w:hAnsi="Times New Roman"/>
          <w:sz w:val="28"/>
          <w:szCs w:val="28"/>
        </w:rPr>
        <w:t xml:space="preserve">7,2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1188">
        <w:rPr>
          <w:rFonts w:ascii="Times New Roman" w:hAnsi="Times New Roman"/>
          <w:sz w:val="28"/>
          <w:szCs w:val="28"/>
        </w:rPr>
        <w:t xml:space="preserve">Увеличение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ассигнований в разделе </w:t>
      </w:r>
      <w:r w:rsidR="0068365C" w:rsidRPr="00645AC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68365C" w:rsidRPr="00645ACC">
        <w:rPr>
          <w:rFonts w:ascii="Times New Roman" w:hAnsi="Times New Roman"/>
          <w:sz w:val="28"/>
          <w:szCs w:val="28"/>
        </w:rPr>
        <w:t xml:space="preserve"> составит </w:t>
      </w:r>
      <w:r w:rsidR="008B1188">
        <w:rPr>
          <w:rFonts w:ascii="Times New Roman" w:hAnsi="Times New Roman"/>
          <w:sz w:val="28"/>
          <w:szCs w:val="28"/>
        </w:rPr>
        <w:t xml:space="preserve">407,0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</w:t>
      </w:r>
      <w:r w:rsidR="007961B0">
        <w:rPr>
          <w:rFonts w:ascii="Times New Roman" w:hAnsi="Times New Roman"/>
          <w:sz w:val="28"/>
          <w:szCs w:val="28"/>
        </w:rPr>
        <w:t xml:space="preserve"> (+10,1 %)</w:t>
      </w:r>
      <w:r w:rsidR="0068365C" w:rsidRPr="00645ACC">
        <w:rPr>
          <w:rFonts w:ascii="Times New Roman" w:hAnsi="Times New Roman"/>
          <w:sz w:val="28"/>
          <w:szCs w:val="28"/>
        </w:rPr>
        <w:t>, в том числе</w:t>
      </w:r>
      <w:r w:rsidR="008B1188" w:rsidRPr="008B1188">
        <w:rPr>
          <w:rFonts w:ascii="Times New Roman" w:hAnsi="Times New Roman"/>
          <w:sz w:val="28"/>
          <w:szCs w:val="28"/>
        </w:rPr>
        <w:t>: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8B1188">
        <w:rPr>
          <w:rFonts w:ascii="Times New Roman" w:hAnsi="Times New Roman"/>
          <w:sz w:val="28"/>
          <w:szCs w:val="28"/>
        </w:rPr>
        <w:t xml:space="preserve">по подразделу </w:t>
      </w:r>
      <w:r w:rsidR="008B1188" w:rsidRPr="00C756DE">
        <w:rPr>
          <w:rFonts w:ascii="Times New Roman" w:hAnsi="Times New Roman"/>
          <w:i/>
          <w:sz w:val="28"/>
          <w:szCs w:val="28"/>
        </w:rPr>
        <w:t>0309</w:t>
      </w:r>
      <w:r w:rsidR="00C756DE">
        <w:rPr>
          <w:rFonts w:ascii="Times New Roman" w:hAnsi="Times New Roman"/>
          <w:i/>
          <w:sz w:val="28"/>
          <w:szCs w:val="28"/>
        </w:rPr>
        <w:t xml:space="preserve"> «</w:t>
      </w:r>
      <w:r w:rsidR="00C756DE" w:rsidRPr="00C756DE">
        <w:rPr>
          <w:rFonts w:ascii="Times New Roman" w:hAnsi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C756DE">
        <w:rPr>
          <w:rFonts w:ascii="Times New Roman" w:hAnsi="Times New Roman"/>
          <w:sz w:val="28"/>
          <w:szCs w:val="28"/>
        </w:rPr>
        <w:t>»</w:t>
      </w:r>
      <w:r w:rsidR="008B1188">
        <w:rPr>
          <w:rFonts w:ascii="Times New Roman" w:hAnsi="Times New Roman"/>
          <w:sz w:val="28"/>
          <w:szCs w:val="28"/>
        </w:rPr>
        <w:t xml:space="preserve"> на 40</w:t>
      </w:r>
      <w:r w:rsidR="007034AC">
        <w:rPr>
          <w:rFonts w:ascii="Times New Roman" w:hAnsi="Times New Roman"/>
          <w:sz w:val="28"/>
          <w:szCs w:val="28"/>
        </w:rPr>
        <w:t>3,2</w:t>
      </w:r>
      <w:r w:rsidR="008B1188">
        <w:rPr>
          <w:rFonts w:ascii="Times New Roman" w:hAnsi="Times New Roman"/>
          <w:sz w:val="28"/>
          <w:szCs w:val="28"/>
        </w:rPr>
        <w:t xml:space="preserve"> тыс. рублей</w:t>
      </w:r>
      <w:r w:rsidR="00D564AF">
        <w:rPr>
          <w:rFonts w:ascii="Times New Roman" w:hAnsi="Times New Roman"/>
          <w:sz w:val="28"/>
          <w:szCs w:val="28"/>
        </w:rPr>
        <w:t xml:space="preserve"> (увеличены расходы на выплаты персоналу</w:t>
      </w:r>
      <w:r w:rsidR="00C756DE">
        <w:rPr>
          <w:rFonts w:ascii="Times New Roman" w:hAnsi="Times New Roman"/>
          <w:sz w:val="28"/>
          <w:szCs w:val="28"/>
        </w:rPr>
        <w:t>),</w:t>
      </w:r>
      <w:r w:rsidR="00D564AF">
        <w:rPr>
          <w:rFonts w:ascii="Times New Roman" w:hAnsi="Times New Roman"/>
          <w:sz w:val="28"/>
          <w:szCs w:val="28"/>
        </w:rPr>
        <w:t xml:space="preserve"> </w:t>
      </w:r>
      <w:r w:rsidR="007961B0">
        <w:rPr>
          <w:rFonts w:ascii="Times New Roman" w:hAnsi="Times New Roman"/>
          <w:sz w:val="28"/>
          <w:szCs w:val="28"/>
        </w:rPr>
        <w:t xml:space="preserve"> по </w:t>
      </w:r>
      <w:r w:rsidR="007961B0" w:rsidRPr="00D564AF">
        <w:rPr>
          <w:rFonts w:ascii="Times New Roman" w:hAnsi="Times New Roman"/>
          <w:i/>
          <w:sz w:val="28"/>
          <w:szCs w:val="28"/>
        </w:rPr>
        <w:t xml:space="preserve">подразделу </w:t>
      </w:r>
      <w:r w:rsidR="0068365C" w:rsidRPr="00D564AF">
        <w:rPr>
          <w:rFonts w:ascii="Times New Roman" w:hAnsi="Times New Roman"/>
          <w:i/>
          <w:sz w:val="28"/>
          <w:szCs w:val="28"/>
        </w:rPr>
        <w:t>0314 «Другие вопросы в области национальной безопасности и п</w:t>
      </w:r>
      <w:r w:rsidR="007961B0" w:rsidRPr="00D564AF">
        <w:rPr>
          <w:rFonts w:ascii="Times New Roman" w:hAnsi="Times New Roman"/>
          <w:i/>
          <w:sz w:val="28"/>
          <w:szCs w:val="28"/>
        </w:rPr>
        <w:t>равоохранительной деятельности»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D564AF">
        <w:rPr>
          <w:rFonts w:ascii="Times New Roman" w:hAnsi="Times New Roman"/>
          <w:sz w:val="28"/>
          <w:szCs w:val="28"/>
        </w:rPr>
        <w:t xml:space="preserve">увеличены расходы на мероприятия по профилактике преступлений и иных правонарушений </w:t>
      </w:r>
      <w:r w:rsidR="007961B0">
        <w:rPr>
          <w:rFonts w:ascii="Times New Roman" w:hAnsi="Times New Roman"/>
          <w:sz w:val="28"/>
          <w:szCs w:val="28"/>
        </w:rPr>
        <w:t>на 4,8 тыс. рублей</w:t>
      </w:r>
      <w:r w:rsidR="0084576D">
        <w:rPr>
          <w:rFonts w:ascii="Times New Roman" w:hAnsi="Times New Roman"/>
          <w:sz w:val="28"/>
          <w:szCs w:val="28"/>
        </w:rPr>
        <w:t>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6DE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На </w:t>
      </w:r>
      <w:r w:rsidR="007034AC">
        <w:rPr>
          <w:rFonts w:ascii="Times New Roman" w:hAnsi="Times New Roman"/>
          <w:sz w:val="28"/>
          <w:szCs w:val="28"/>
        </w:rPr>
        <w:t>9292,1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7961B0">
        <w:rPr>
          <w:rFonts w:ascii="Times New Roman" w:hAnsi="Times New Roman"/>
          <w:sz w:val="28"/>
          <w:szCs w:val="28"/>
        </w:rPr>
        <w:t>+</w:t>
      </w:r>
      <w:r w:rsidR="007034AC">
        <w:rPr>
          <w:rFonts w:ascii="Times New Roman" w:hAnsi="Times New Roman"/>
          <w:sz w:val="28"/>
          <w:szCs w:val="28"/>
        </w:rPr>
        <w:t>7,9</w:t>
      </w:r>
      <w:r w:rsidRPr="00645ACC">
        <w:rPr>
          <w:rFonts w:ascii="Times New Roman" w:hAnsi="Times New Roman"/>
          <w:sz w:val="28"/>
          <w:szCs w:val="28"/>
        </w:rPr>
        <w:t xml:space="preserve"> %) </w:t>
      </w:r>
      <w:r w:rsidR="007961B0">
        <w:rPr>
          <w:rFonts w:ascii="Times New Roman" w:hAnsi="Times New Roman"/>
          <w:sz w:val="28"/>
          <w:szCs w:val="28"/>
        </w:rPr>
        <w:t xml:space="preserve">увеличиваются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</w:t>
      </w:r>
      <w:r w:rsidRPr="00645ACC">
        <w:rPr>
          <w:rFonts w:ascii="Times New Roman" w:hAnsi="Times New Roman"/>
          <w:b/>
          <w:sz w:val="28"/>
          <w:szCs w:val="28"/>
        </w:rPr>
        <w:t xml:space="preserve">в разделе 04 «Национальная экономика». </w:t>
      </w:r>
      <w:r w:rsidRPr="00645ACC">
        <w:rPr>
          <w:rFonts w:ascii="Times New Roman" w:hAnsi="Times New Roman"/>
          <w:sz w:val="28"/>
          <w:szCs w:val="28"/>
        </w:rPr>
        <w:t>У</w:t>
      </w:r>
      <w:r w:rsidR="007961B0">
        <w:rPr>
          <w:rFonts w:ascii="Times New Roman" w:hAnsi="Times New Roman"/>
          <w:sz w:val="28"/>
          <w:szCs w:val="28"/>
        </w:rPr>
        <w:t xml:space="preserve">величение </w:t>
      </w:r>
      <w:r w:rsidRPr="00645ACC">
        <w:rPr>
          <w:rFonts w:ascii="Times New Roman" w:hAnsi="Times New Roman"/>
          <w:sz w:val="28"/>
          <w:szCs w:val="28"/>
        </w:rPr>
        <w:t xml:space="preserve">на </w:t>
      </w:r>
      <w:r w:rsidR="007961B0">
        <w:rPr>
          <w:rFonts w:ascii="Times New Roman" w:hAnsi="Times New Roman"/>
          <w:sz w:val="28"/>
          <w:szCs w:val="28"/>
        </w:rPr>
        <w:t xml:space="preserve">4710,3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7961B0">
        <w:rPr>
          <w:rFonts w:ascii="Times New Roman" w:hAnsi="Times New Roman"/>
          <w:sz w:val="28"/>
          <w:szCs w:val="28"/>
        </w:rPr>
        <w:t xml:space="preserve">в 4,6 раза) </w:t>
      </w:r>
      <w:r w:rsidRPr="00645ACC">
        <w:rPr>
          <w:rFonts w:ascii="Times New Roman" w:hAnsi="Times New Roman"/>
          <w:sz w:val="28"/>
          <w:szCs w:val="28"/>
        </w:rPr>
        <w:t xml:space="preserve">в подразделе </w:t>
      </w:r>
      <w:r w:rsidRPr="00D564AF">
        <w:rPr>
          <w:rFonts w:ascii="Times New Roman" w:hAnsi="Times New Roman"/>
          <w:i/>
          <w:sz w:val="28"/>
          <w:szCs w:val="28"/>
        </w:rPr>
        <w:t>040</w:t>
      </w:r>
      <w:r w:rsidR="007961B0" w:rsidRPr="00D564AF">
        <w:rPr>
          <w:rFonts w:ascii="Times New Roman" w:hAnsi="Times New Roman"/>
          <w:i/>
          <w:sz w:val="28"/>
          <w:szCs w:val="28"/>
        </w:rPr>
        <w:t>8</w:t>
      </w:r>
      <w:r w:rsidRPr="00D564AF">
        <w:rPr>
          <w:rFonts w:ascii="Times New Roman" w:hAnsi="Times New Roman"/>
          <w:i/>
          <w:sz w:val="28"/>
          <w:szCs w:val="28"/>
        </w:rPr>
        <w:t xml:space="preserve"> «</w:t>
      </w:r>
      <w:r w:rsidR="007961B0" w:rsidRPr="00D564AF">
        <w:rPr>
          <w:rFonts w:ascii="Times New Roman" w:hAnsi="Times New Roman"/>
          <w:i/>
          <w:sz w:val="28"/>
          <w:szCs w:val="28"/>
        </w:rPr>
        <w:t>Транспорт»</w:t>
      </w:r>
      <w:r w:rsidR="007961B0">
        <w:rPr>
          <w:rFonts w:ascii="Times New Roman" w:hAnsi="Times New Roman"/>
          <w:sz w:val="28"/>
          <w:szCs w:val="28"/>
        </w:rPr>
        <w:t xml:space="preserve"> (увеличиваются расходы на организацию транспортного обслуживания населения на муниципальных маршрутах регулярных пере</w:t>
      </w:r>
      <w:r w:rsidR="00C756DE">
        <w:rPr>
          <w:rFonts w:ascii="Times New Roman" w:hAnsi="Times New Roman"/>
          <w:sz w:val="28"/>
          <w:szCs w:val="28"/>
        </w:rPr>
        <w:t xml:space="preserve">возок по регулируемым тарифам) за счет субсидии из областного бюджета. </w:t>
      </w:r>
    </w:p>
    <w:p w:rsidR="00675456" w:rsidRDefault="00D564AF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4AF">
        <w:rPr>
          <w:rFonts w:ascii="Times New Roman" w:hAnsi="Times New Roman"/>
          <w:sz w:val="28"/>
          <w:szCs w:val="28"/>
        </w:rPr>
        <w:t>По подразделу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2AD">
        <w:rPr>
          <w:rFonts w:ascii="Times New Roman" w:hAnsi="Times New Roman"/>
          <w:i/>
          <w:sz w:val="28"/>
          <w:szCs w:val="28"/>
        </w:rPr>
        <w:t>0409 «</w:t>
      </w:r>
      <w:r w:rsidR="00BA12AD" w:rsidRPr="00BA12AD">
        <w:rPr>
          <w:rFonts w:ascii="Times New Roman" w:hAnsi="Times New Roman"/>
          <w:i/>
          <w:sz w:val="28"/>
          <w:szCs w:val="28"/>
          <w:lang w:eastAsia="ru-RU"/>
        </w:rPr>
        <w:t>Дорожное хозяйство (дорожные фонды)»</w:t>
      </w:r>
      <w:r w:rsidR="00BA12A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A12AD" w:rsidRPr="00BA12AD">
        <w:rPr>
          <w:rFonts w:ascii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BA12AD">
        <w:rPr>
          <w:rFonts w:ascii="Times New Roman" w:hAnsi="Times New Roman"/>
          <w:sz w:val="28"/>
          <w:szCs w:val="28"/>
          <w:lang w:eastAsia="ru-RU"/>
        </w:rPr>
        <w:t xml:space="preserve">предлагается увеличить на </w:t>
      </w:r>
      <w:r w:rsidR="00C97094">
        <w:rPr>
          <w:rFonts w:ascii="Times New Roman" w:hAnsi="Times New Roman"/>
          <w:sz w:val="28"/>
          <w:szCs w:val="28"/>
          <w:lang w:eastAsia="ru-RU"/>
        </w:rPr>
        <w:t>21501,2</w:t>
      </w:r>
      <w:r w:rsidR="00BA12AD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97094">
        <w:rPr>
          <w:rFonts w:ascii="Times New Roman" w:hAnsi="Times New Roman"/>
          <w:sz w:val="28"/>
          <w:szCs w:val="28"/>
          <w:lang w:eastAsia="ru-RU"/>
        </w:rPr>
        <w:t>86,3</w:t>
      </w:r>
      <w:r w:rsidR="00BA12AD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675456" w:rsidRDefault="00C97094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20347,6 тыс. рублей увеличиваются расходы на ремонт автомобильных дорог и искусственных сооружений</w:t>
      </w:r>
      <w:r w:rsidRPr="00C97094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ут</w:t>
      </w:r>
      <w:r w:rsidR="00BA12AD">
        <w:rPr>
          <w:rFonts w:ascii="Times New Roman" w:hAnsi="Times New Roman"/>
          <w:sz w:val="28"/>
          <w:szCs w:val="28"/>
          <w:lang w:eastAsia="ru-RU"/>
        </w:rPr>
        <w:t>верждаются расходы в объеме 20000,0 тыс. рублей на осуществление дорожной деятельности в отношении автомобильных дорог общего пользования местного значения</w:t>
      </w:r>
      <w:r w:rsidR="00C756DE">
        <w:rPr>
          <w:rFonts w:ascii="Times New Roman" w:hAnsi="Times New Roman"/>
          <w:sz w:val="28"/>
          <w:szCs w:val="28"/>
          <w:lang w:eastAsia="ru-RU"/>
        </w:rPr>
        <w:t xml:space="preserve"> (МО «Город Вытегра) 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C756DE">
        <w:rPr>
          <w:rFonts w:ascii="Times New Roman" w:hAnsi="Times New Roman"/>
          <w:sz w:val="28"/>
          <w:szCs w:val="28"/>
          <w:lang w:eastAsia="ru-RU"/>
        </w:rPr>
        <w:t>из областного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объеме 300,0 тыс. рублей утверждаются расходы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мероприятий по ремонту автомобильных дорог местного значения, на 46,2 увеличиваются расходы на  осуществление дорожной деятельности в отношении автомобильных дорог общего пользов</w:t>
      </w:r>
      <w:r w:rsidR="00024D4F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ния местного значения дл</w:t>
      </w:r>
      <w:r w:rsidR="00675456">
        <w:rPr>
          <w:rFonts w:ascii="Times New Roman" w:hAnsi="Times New Roman"/>
          <w:sz w:val="28"/>
          <w:szCs w:val="28"/>
          <w:lang w:eastAsia="ru-RU"/>
        </w:rPr>
        <w:t xml:space="preserve">я обеспечения подъездов к земельным участкам, предоставляемым отдельным категориям граждан (субсидия из областного бюджета), на 1,4 тыс. рублей увеличены расходы на </w:t>
      </w:r>
      <w:proofErr w:type="spellStart"/>
      <w:r w:rsidR="00675456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675456">
        <w:rPr>
          <w:rFonts w:ascii="Times New Roman" w:hAnsi="Times New Roman"/>
          <w:sz w:val="28"/>
          <w:szCs w:val="28"/>
          <w:lang w:eastAsia="ru-RU"/>
        </w:rPr>
        <w:t xml:space="preserve"> мероприятий по дорожной деятельности для обеспечения подъездов к земельным участкам, предоставляемым отдельным категориям граждан.</w:t>
      </w:r>
    </w:p>
    <w:p w:rsidR="00675456" w:rsidRDefault="00675456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1153,6 тыс. рублей увеличиваются расходы на содержание автомобильных дорог и искусственных сооружений. </w:t>
      </w:r>
    </w:p>
    <w:p w:rsidR="00BB171E" w:rsidRPr="00BB171E" w:rsidRDefault="00BB171E" w:rsidP="00675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71E">
        <w:rPr>
          <w:rFonts w:ascii="Times New Roman" w:hAnsi="Times New Roman"/>
          <w:sz w:val="28"/>
          <w:szCs w:val="28"/>
        </w:rPr>
        <w:t>В результате изменений общий о</w:t>
      </w:r>
      <w:r w:rsidRPr="00BB171E">
        <w:rPr>
          <w:rFonts w:ascii="Times New Roman" w:hAnsi="Times New Roman"/>
          <w:sz w:val="28"/>
          <w:szCs w:val="28"/>
          <w:lang w:eastAsia="ru-RU"/>
        </w:rPr>
        <w:t>бъем муниципального дорожного фонда на 2020 год</w:t>
      </w:r>
      <w:r w:rsidRPr="00BB171E">
        <w:rPr>
          <w:rFonts w:ascii="Times New Roman" w:hAnsi="Times New Roman"/>
          <w:sz w:val="28"/>
          <w:szCs w:val="28"/>
        </w:rPr>
        <w:t xml:space="preserve"> составит </w:t>
      </w:r>
      <w:r w:rsidR="00254627">
        <w:rPr>
          <w:rFonts w:ascii="Times New Roman" w:hAnsi="Times New Roman"/>
          <w:sz w:val="28"/>
          <w:szCs w:val="28"/>
        </w:rPr>
        <w:t>46413,2</w:t>
      </w:r>
      <w:r w:rsidRPr="00BB171E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9 решения от 11 декабря 2019 г. № 276 «О районном бюджете на 2020 год и плановый период 2021и 2022 годов». </w:t>
      </w:r>
    </w:p>
    <w:p w:rsidR="0068365C" w:rsidRDefault="00BB171E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71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="0068365C"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 w:rsidR="0068365C" w:rsidRPr="00645ACC">
        <w:rPr>
          <w:rFonts w:ascii="Times New Roman" w:hAnsi="Times New Roman"/>
          <w:sz w:val="28"/>
          <w:szCs w:val="28"/>
        </w:rPr>
        <w:t xml:space="preserve"> сокращаются на </w:t>
      </w:r>
      <w:r w:rsidR="00254627">
        <w:rPr>
          <w:rFonts w:ascii="Times New Roman" w:hAnsi="Times New Roman"/>
          <w:sz w:val="28"/>
          <w:szCs w:val="28"/>
        </w:rPr>
        <w:t>16919,4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(-</w:t>
      </w:r>
      <w:r w:rsidR="00BA12AD">
        <w:rPr>
          <w:rFonts w:ascii="Times New Roman" w:hAnsi="Times New Roman"/>
          <w:sz w:val="28"/>
          <w:szCs w:val="28"/>
        </w:rPr>
        <w:t xml:space="preserve"> 1</w:t>
      </w:r>
      <w:r w:rsidR="00254627">
        <w:rPr>
          <w:rFonts w:ascii="Times New Roman" w:hAnsi="Times New Roman"/>
          <w:sz w:val="28"/>
          <w:szCs w:val="28"/>
        </w:rPr>
        <w:t>8</w:t>
      </w:r>
      <w:r w:rsidR="00BA12AD">
        <w:rPr>
          <w:rFonts w:ascii="Times New Roman" w:hAnsi="Times New Roman"/>
          <w:sz w:val="28"/>
          <w:szCs w:val="28"/>
        </w:rPr>
        <w:t>,7</w:t>
      </w:r>
      <w:r w:rsidR="00C756DE">
        <w:rPr>
          <w:rFonts w:ascii="Times New Roman" w:hAnsi="Times New Roman"/>
          <w:sz w:val="28"/>
          <w:szCs w:val="28"/>
        </w:rPr>
        <w:t xml:space="preserve">%) в связи с уменьшением субсидии из областного бюджета. </w:t>
      </w:r>
    </w:p>
    <w:p w:rsidR="00690AF1" w:rsidRPr="00690AF1" w:rsidRDefault="007034A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AF1">
        <w:rPr>
          <w:rFonts w:ascii="Times New Roman" w:hAnsi="Times New Roman"/>
          <w:sz w:val="28"/>
          <w:szCs w:val="28"/>
        </w:rPr>
        <w:t xml:space="preserve">В подразделе 0405 «Сельское хозяйство и рыболовство» произведена корректировка бюджетных ассигнований между </w:t>
      </w:r>
      <w:r w:rsidR="00690AF1" w:rsidRPr="00690AF1">
        <w:rPr>
          <w:rFonts w:ascii="Times New Roman" w:hAnsi="Times New Roman"/>
          <w:sz w:val="28"/>
          <w:szCs w:val="28"/>
        </w:rPr>
        <w:t xml:space="preserve">видами расходов. В результате изменений общий объем расходов по подразделу не изменится (800,0 тыс. рублей). </w:t>
      </w:r>
    </w:p>
    <w:p w:rsidR="00C97094" w:rsidRDefault="00C97094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2AF0" w:rsidRDefault="00690AF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BA12AD">
        <w:rPr>
          <w:rFonts w:ascii="Times New Roman" w:hAnsi="Times New Roman"/>
          <w:sz w:val="28"/>
          <w:szCs w:val="28"/>
        </w:rPr>
        <w:t xml:space="preserve">      </w:t>
      </w:r>
      <w:r w:rsidR="0068365C" w:rsidRPr="00645ACC">
        <w:rPr>
          <w:rFonts w:ascii="Times New Roman" w:hAnsi="Times New Roman"/>
          <w:sz w:val="28"/>
          <w:szCs w:val="28"/>
        </w:rPr>
        <w:t xml:space="preserve">Увеличение ассигнований в </w:t>
      </w:r>
      <w:r w:rsidR="0068365C"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68365C" w:rsidRPr="00645ACC">
        <w:rPr>
          <w:rFonts w:ascii="Times New Roman" w:hAnsi="Times New Roman"/>
          <w:sz w:val="28"/>
          <w:szCs w:val="28"/>
        </w:rPr>
        <w:t xml:space="preserve">» </w:t>
      </w:r>
      <w:r w:rsidR="00BA12AD">
        <w:rPr>
          <w:rFonts w:ascii="Times New Roman" w:hAnsi="Times New Roman"/>
          <w:sz w:val="28"/>
          <w:szCs w:val="28"/>
        </w:rPr>
        <w:t>составит 4</w:t>
      </w:r>
      <w:r w:rsidR="00254627">
        <w:rPr>
          <w:rFonts w:ascii="Times New Roman" w:hAnsi="Times New Roman"/>
          <w:sz w:val="28"/>
          <w:szCs w:val="28"/>
        </w:rPr>
        <w:t>1793,0</w:t>
      </w:r>
      <w:r w:rsidR="00BA12AD">
        <w:rPr>
          <w:rFonts w:ascii="Times New Roman" w:hAnsi="Times New Roman"/>
          <w:sz w:val="28"/>
          <w:szCs w:val="28"/>
        </w:rPr>
        <w:t xml:space="preserve"> т</w:t>
      </w:r>
      <w:r w:rsidR="0068365C" w:rsidRPr="00645ACC">
        <w:rPr>
          <w:rFonts w:ascii="Times New Roman" w:hAnsi="Times New Roman"/>
          <w:sz w:val="28"/>
          <w:szCs w:val="28"/>
        </w:rPr>
        <w:t>ыс.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(+</w:t>
      </w:r>
      <w:r w:rsidR="00BA12AD">
        <w:rPr>
          <w:rFonts w:ascii="Times New Roman" w:hAnsi="Times New Roman"/>
          <w:sz w:val="28"/>
          <w:szCs w:val="28"/>
        </w:rPr>
        <w:t xml:space="preserve"> 1</w:t>
      </w:r>
      <w:r w:rsidR="00793EAA">
        <w:rPr>
          <w:rFonts w:ascii="Times New Roman" w:hAnsi="Times New Roman"/>
          <w:sz w:val="28"/>
          <w:szCs w:val="28"/>
        </w:rPr>
        <w:t>43,8</w:t>
      </w:r>
      <w:r w:rsidR="0068365C" w:rsidRPr="00645ACC">
        <w:rPr>
          <w:rFonts w:ascii="Times New Roman" w:hAnsi="Times New Roman"/>
          <w:sz w:val="28"/>
          <w:szCs w:val="28"/>
        </w:rPr>
        <w:t xml:space="preserve"> %)</w:t>
      </w:r>
      <w:r w:rsidR="00E42AF0">
        <w:rPr>
          <w:rFonts w:ascii="Times New Roman" w:hAnsi="Times New Roman"/>
          <w:sz w:val="28"/>
          <w:szCs w:val="28"/>
        </w:rPr>
        <w:t xml:space="preserve">. </w:t>
      </w:r>
    </w:p>
    <w:p w:rsidR="00DE7ADB" w:rsidRDefault="00E42AF0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="0068365C" w:rsidRPr="00645ACC">
        <w:rPr>
          <w:rFonts w:ascii="Times New Roman" w:hAnsi="Times New Roman"/>
          <w:sz w:val="28"/>
          <w:szCs w:val="28"/>
        </w:rPr>
        <w:t xml:space="preserve"> </w:t>
      </w:r>
      <w:r w:rsidR="0068365C" w:rsidRPr="00E42AF0">
        <w:rPr>
          <w:rFonts w:ascii="Times New Roman" w:hAnsi="Times New Roman"/>
          <w:i/>
          <w:sz w:val="28"/>
          <w:szCs w:val="28"/>
        </w:rPr>
        <w:t>0501 «Жилищное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2AF0">
        <w:rPr>
          <w:rFonts w:ascii="Times New Roman" w:hAnsi="Times New Roman"/>
          <w:sz w:val="28"/>
          <w:szCs w:val="28"/>
        </w:rPr>
        <w:t xml:space="preserve">расходы увеличатся на </w:t>
      </w:r>
      <w:r w:rsidR="00793EAA">
        <w:rPr>
          <w:rFonts w:ascii="Times New Roman" w:hAnsi="Times New Roman"/>
          <w:sz w:val="28"/>
          <w:szCs w:val="28"/>
        </w:rPr>
        <w:t>41394,6</w:t>
      </w:r>
      <w:r w:rsidRPr="00E42AF0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на мероприятия подпрограммы «Переселение граждан из аварийного жилищного фонда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с учетом необходимости развития малоэтажного жилищного строительства на 2014-2020 </w:t>
      </w:r>
      <w:r w:rsidRPr="00E42AF0">
        <w:rPr>
          <w:rFonts w:ascii="Times New Roman" w:hAnsi="Times New Roman"/>
          <w:sz w:val="28"/>
          <w:szCs w:val="28"/>
        </w:rPr>
        <w:t>годы».</w:t>
      </w:r>
      <w:r w:rsidRPr="00E42AF0">
        <w:rPr>
          <w:rFonts w:ascii="Times New Roman" w:hAnsi="Times New Roman"/>
          <w:b/>
          <w:sz w:val="28"/>
          <w:szCs w:val="28"/>
        </w:rPr>
        <w:t xml:space="preserve">  </w:t>
      </w:r>
    </w:p>
    <w:p w:rsidR="00E42AF0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4A4">
        <w:rPr>
          <w:rFonts w:ascii="Times New Roman" w:hAnsi="Times New Roman"/>
          <w:sz w:val="28"/>
          <w:szCs w:val="28"/>
        </w:rPr>
        <w:t xml:space="preserve">Увеличение расходов в подразделе 02 «Коммунальное хозяйство» составит </w:t>
      </w:r>
      <w:r w:rsidR="00E42AF0" w:rsidRPr="003F14A4">
        <w:rPr>
          <w:rFonts w:ascii="Times New Roman" w:hAnsi="Times New Roman"/>
          <w:sz w:val="28"/>
          <w:szCs w:val="28"/>
        </w:rPr>
        <w:t>67</w:t>
      </w:r>
      <w:r w:rsidR="00793EAA">
        <w:rPr>
          <w:rFonts w:ascii="Times New Roman" w:hAnsi="Times New Roman"/>
          <w:sz w:val="28"/>
          <w:szCs w:val="28"/>
        </w:rPr>
        <w:t xml:space="preserve">2,5 </w:t>
      </w:r>
      <w:r w:rsidRPr="003F14A4">
        <w:rPr>
          <w:rFonts w:ascii="Times New Roman" w:hAnsi="Times New Roman"/>
          <w:sz w:val="28"/>
          <w:szCs w:val="28"/>
        </w:rPr>
        <w:t>тыс.</w:t>
      </w:r>
      <w:r w:rsidR="00E42AF0" w:rsidRPr="003F14A4"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рублей</w:t>
      </w:r>
      <w:r w:rsidR="00954C6C" w:rsidRPr="003F14A4">
        <w:rPr>
          <w:rFonts w:ascii="Times New Roman" w:hAnsi="Times New Roman"/>
          <w:sz w:val="28"/>
          <w:szCs w:val="28"/>
        </w:rPr>
        <w:t>. У</w:t>
      </w:r>
      <w:r w:rsidR="00E42AF0" w:rsidRPr="003F14A4">
        <w:rPr>
          <w:rFonts w:ascii="Times New Roman" w:hAnsi="Times New Roman"/>
          <w:sz w:val="28"/>
          <w:szCs w:val="28"/>
        </w:rPr>
        <w:t xml:space="preserve">величены </w:t>
      </w:r>
      <w:r w:rsidR="00954C6C" w:rsidRPr="003F14A4">
        <w:rPr>
          <w:rFonts w:ascii="Times New Roman" w:hAnsi="Times New Roman"/>
          <w:sz w:val="28"/>
          <w:szCs w:val="28"/>
        </w:rPr>
        <w:t>расходы на содержание</w:t>
      </w:r>
      <w:r w:rsidR="00E42AF0" w:rsidRPr="003F14A4">
        <w:rPr>
          <w:rFonts w:ascii="Times New Roman" w:hAnsi="Times New Roman"/>
          <w:sz w:val="28"/>
          <w:szCs w:val="28"/>
        </w:rPr>
        <w:t xml:space="preserve"> МП ХПУ </w:t>
      </w:r>
      <w:r w:rsidR="00954C6C" w:rsidRPr="003F14A4">
        <w:rPr>
          <w:rFonts w:ascii="Times New Roman" w:hAnsi="Times New Roman"/>
          <w:sz w:val="28"/>
          <w:szCs w:val="28"/>
        </w:rPr>
        <w:t>на 1383,5 тыс. рублей</w:t>
      </w:r>
      <w:r w:rsidR="003F14A4" w:rsidRPr="003F14A4">
        <w:rPr>
          <w:rFonts w:ascii="Times New Roman" w:hAnsi="Times New Roman"/>
          <w:sz w:val="28"/>
          <w:szCs w:val="28"/>
        </w:rPr>
        <w:t>, сокращены</w:t>
      </w:r>
      <w:r w:rsidR="0028660B">
        <w:rPr>
          <w:rFonts w:ascii="Times New Roman" w:hAnsi="Times New Roman"/>
          <w:sz w:val="28"/>
          <w:szCs w:val="28"/>
        </w:rPr>
        <w:t xml:space="preserve"> на 705,0 тыс. рублей</w:t>
      </w:r>
      <w:r w:rsidR="003F14A4" w:rsidRPr="003F14A4">
        <w:rPr>
          <w:rFonts w:ascii="Times New Roman" w:hAnsi="Times New Roman"/>
          <w:sz w:val="28"/>
          <w:szCs w:val="28"/>
        </w:rPr>
        <w:t xml:space="preserve"> расходы на </w:t>
      </w:r>
      <w:proofErr w:type="spellStart"/>
      <w:r w:rsidR="003F14A4" w:rsidRPr="003F14A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F14A4" w:rsidRPr="003F14A4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бюджет».</w:t>
      </w:r>
      <w:r w:rsidR="003F14A4">
        <w:rPr>
          <w:rFonts w:ascii="Times New Roman" w:hAnsi="Times New Roman"/>
          <w:sz w:val="28"/>
          <w:szCs w:val="28"/>
        </w:rPr>
        <w:t xml:space="preserve"> </w:t>
      </w:r>
    </w:p>
    <w:p w:rsidR="00DE7ADB" w:rsidRDefault="00DE7ADB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Pr="003F14A4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На </w:t>
      </w:r>
      <w:r w:rsidR="0028660B">
        <w:rPr>
          <w:rFonts w:ascii="Times New Roman" w:hAnsi="Times New Roman"/>
          <w:sz w:val="28"/>
          <w:szCs w:val="28"/>
        </w:rPr>
        <w:t>305,0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E42AF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 w:rsidR="00E42AF0">
        <w:rPr>
          <w:rFonts w:ascii="Times New Roman" w:hAnsi="Times New Roman"/>
          <w:sz w:val="28"/>
          <w:szCs w:val="28"/>
        </w:rPr>
        <w:t>сокращаются расходы</w:t>
      </w:r>
      <w:r w:rsidR="006B0A19">
        <w:rPr>
          <w:rFonts w:ascii="Times New Roman" w:hAnsi="Times New Roman"/>
          <w:sz w:val="28"/>
          <w:szCs w:val="28"/>
        </w:rPr>
        <w:t xml:space="preserve"> на мероприятия по благоустройству общественных территорий (</w:t>
      </w:r>
      <w:r w:rsidR="006B0A19"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 w:rsidR="003F14A4">
        <w:rPr>
          <w:rFonts w:ascii="Times New Roman" w:hAnsi="Times New Roman"/>
          <w:i/>
          <w:sz w:val="28"/>
          <w:szCs w:val="28"/>
        </w:rPr>
        <w:t xml:space="preserve"> </w:t>
      </w:r>
      <w:r w:rsidR="003F14A4" w:rsidRPr="003F14A4">
        <w:rPr>
          <w:rFonts w:ascii="Times New Roman" w:hAnsi="Times New Roman"/>
          <w:sz w:val="28"/>
          <w:szCs w:val="28"/>
        </w:rPr>
        <w:t>в связи с уточнением межбюдж</w:t>
      </w:r>
      <w:r w:rsidR="003F14A4">
        <w:rPr>
          <w:rFonts w:ascii="Times New Roman" w:hAnsi="Times New Roman"/>
          <w:sz w:val="28"/>
          <w:szCs w:val="28"/>
        </w:rPr>
        <w:t xml:space="preserve">етных трансфертов от поселений на исполнение полномочий по решению вопросов местного значения. </w:t>
      </w:r>
    </w:p>
    <w:p w:rsidR="0068365C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8365C" w:rsidRPr="00645ACC">
        <w:rPr>
          <w:rFonts w:ascii="Times New Roman" w:hAnsi="Times New Roman"/>
          <w:sz w:val="28"/>
          <w:szCs w:val="28"/>
        </w:rPr>
        <w:t>ссигнования на содержание Управления ЖКХ, транспорта и строительства (подраздел 0505 «Другие вопросы в области жилищно-к</w:t>
      </w:r>
      <w:r>
        <w:rPr>
          <w:rFonts w:ascii="Times New Roman" w:hAnsi="Times New Roman"/>
          <w:sz w:val="28"/>
          <w:szCs w:val="28"/>
        </w:rPr>
        <w:t>оммунального хозяйства) увеличиваются на 30,</w:t>
      </w:r>
      <w:r w:rsidR="0028660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60B" w:rsidRPr="0028660B" w:rsidRDefault="0028660B" w:rsidP="006836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Сокращаются расходы на мероприятия в области охраны окружающей среды на 10400,0 тыс. рублей (</w:t>
      </w:r>
      <w:r w:rsidRPr="0028660B">
        <w:rPr>
          <w:rFonts w:ascii="Times New Roman" w:hAnsi="Times New Roman"/>
          <w:b/>
          <w:sz w:val="28"/>
          <w:szCs w:val="28"/>
        </w:rPr>
        <w:t>раздел 06 «Охрана окружающей среды»,</w:t>
      </w:r>
      <w:r>
        <w:rPr>
          <w:rFonts w:ascii="Times New Roman" w:hAnsi="Times New Roman"/>
          <w:sz w:val="28"/>
          <w:szCs w:val="28"/>
        </w:rPr>
        <w:t xml:space="preserve"> подраздел </w:t>
      </w:r>
      <w:r w:rsidRPr="0028660B">
        <w:rPr>
          <w:rFonts w:ascii="Times New Roman" w:hAnsi="Times New Roman"/>
          <w:i/>
          <w:sz w:val="28"/>
          <w:szCs w:val="28"/>
        </w:rPr>
        <w:t>0603 «Охрана объектов растительного и животного мира и среды их обитания»</w:t>
      </w:r>
      <w:r>
        <w:rPr>
          <w:rFonts w:ascii="Times New Roman" w:hAnsi="Times New Roman"/>
          <w:i/>
          <w:sz w:val="28"/>
          <w:szCs w:val="28"/>
        </w:rPr>
        <w:t>)</w:t>
      </w:r>
      <w:r w:rsidRPr="0028660B">
        <w:rPr>
          <w:rFonts w:ascii="Times New Roman" w:hAnsi="Times New Roman"/>
          <w:i/>
          <w:sz w:val="28"/>
          <w:szCs w:val="28"/>
        </w:rPr>
        <w:t xml:space="preserve">. </w:t>
      </w:r>
    </w:p>
    <w:p w:rsidR="0028660B" w:rsidRDefault="0028660B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 xml:space="preserve">объем бюджетных ассигнований увеличится на </w:t>
      </w:r>
      <w:r w:rsidR="0028660B">
        <w:rPr>
          <w:rFonts w:ascii="Times New Roman" w:hAnsi="Times New Roman"/>
          <w:sz w:val="28"/>
          <w:szCs w:val="28"/>
        </w:rPr>
        <w:t>53207,1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1</w:t>
      </w:r>
      <w:r w:rsidR="0028660B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sz w:val="28"/>
          <w:szCs w:val="28"/>
        </w:rPr>
        <w:t xml:space="preserve"> % и составит 5</w:t>
      </w:r>
      <w:r w:rsidR="0028660B">
        <w:rPr>
          <w:rFonts w:ascii="Times New Roman" w:hAnsi="Times New Roman"/>
          <w:sz w:val="28"/>
          <w:szCs w:val="28"/>
        </w:rPr>
        <w:t>81325,3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6B0A19">
        <w:rPr>
          <w:rFonts w:ascii="Times New Roman" w:hAnsi="Times New Roman"/>
          <w:sz w:val="28"/>
          <w:szCs w:val="28"/>
        </w:rPr>
        <w:t>.</w:t>
      </w:r>
    </w:p>
    <w:p w:rsidR="009156C1" w:rsidRDefault="006B0A19" w:rsidP="006836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3297,3 тыс. рублей сократятся расходы по подразделу </w:t>
      </w:r>
      <w:r w:rsidRPr="006B0A19">
        <w:rPr>
          <w:rFonts w:ascii="Times New Roman" w:hAnsi="Times New Roman"/>
          <w:i/>
          <w:sz w:val="28"/>
          <w:szCs w:val="28"/>
        </w:rPr>
        <w:t>0701 «</w:t>
      </w:r>
      <w:r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="009156C1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уве</w:t>
      </w:r>
      <w:r w:rsidR="009C372C">
        <w:rPr>
          <w:rFonts w:ascii="Times New Roman" w:hAnsi="Times New Roman"/>
          <w:sz w:val="28"/>
          <w:szCs w:val="28"/>
        </w:rPr>
        <w:t xml:space="preserve">личатся на </w:t>
      </w:r>
      <w:r w:rsidR="0033326C">
        <w:rPr>
          <w:rFonts w:ascii="Times New Roman" w:hAnsi="Times New Roman"/>
          <w:sz w:val="28"/>
          <w:szCs w:val="28"/>
        </w:rPr>
        <w:t>18020,2</w:t>
      </w:r>
      <w:r w:rsidR="009C372C">
        <w:rPr>
          <w:rFonts w:ascii="Times New Roman" w:hAnsi="Times New Roman"/>
          <w:sz w:val="28"/>
          <w:szCs w:val="28"/>
        </w:rPr>
        <w:t xml:space="preserve"> тыс. рублей, </w:t>
      </w:r>
      <w:r w:rsidR="0033326C">
        <w:rPr>
          <w:rFonts w:ascii="Times New Roman" w:hAnsi="Times New Roman"/>
          <w:sz w:val="28"/>
          <w:szCs w:val="28"/>
        </w:rPr>
        <w:t>при этом</w:t>
      </w:r>
      <w:r w:rsidR="009C372C" w:rsidRPr="009C372C">
        <w:rPr>
          <w:rFonts w:ascii="Times New Roman" w:hAnsi="Times New Roman"/>
          <w:sz w:val="28"/>
          <w:szCs w:val="28"/>
        </w:rPr>
        <w:t xml:space="preserve">: </w:t>
      </w:r>
      <w:r w:rsidR="009C372C">
        <w:rPr>
          <w:rFonts w:ascii="Times New Roman" w:hAnsi="Times New Roman"/>
          <w:sz w:val="28"/>
          <w:szCs w:val="28"/>
        </w:rPr>
        <w:t xml:space="preserve">на </w:t>
      </w:r>
      <w:r w:rsidR="0033326C">
        <w:rPr>
          <w:rFonts w:ascii="Times New Roman" w:hAnsi="Times New Roman"/>
          <w:sz w:val="28"/>
          <w:szCs w:val="28"/>
        </w:rPr>
        <w:t>6946,6</w:t>
      </w:r>
      <w:r w:rsidR="009C372C">
        <w:rPr>
          <w:rFonts w:ascii="Times New Roman" w:hAnsi="Times New Roman"/>
          <w:sz w:val="28"/>
          <w:szCs w:val="28"/>
        </w:rPr>
        <w:t xml:space="preserve"> тыс. рублей у</w:t>
      </w:r>
      <w:r w:rsidR="0033326C">
        <w:rPr>
          <w:rFonts w:ascii="Times New Roman" w:hAnsi="Times New Roman"/>
          <w:sz w:val="28"/>
          <w:szCs w:val="28"/>
        </w:rPr>
        <w:t>меньшаются</w:t>
      </w:r>
      <w:r w:rsidR="009C372C">
        <w:rPr>
          <w:rFonts w:ascii="Times New Roman" w:hAnsi="Times New Roman"/>
          <w:sz w:val="28"/>
          <w:szCs w:val="28"/>
        </w:rPr>
        <w:t xml:space="preserve"> расходы на мероприятия по подпрограмме «Развитие системы общего образования», на </w:t>
      </w:r>
      <w:r w:rsidR="0033326C">
        <w:rPr>
          <w:rFonts w:ascii="Times New Roman" w:hAnsi="Times New Roman"/>
          <w:sz w:val="28"/>
          <w:szCs w:val="28"/>
        </w:rPr>
        <w:t>24966,8</w:t>
      </w:r>
      <w:r w:rsidR="009C372C">
        <w:rPr>
          <w:rFonts w:ascii="Times New Roman" w:hAnsi="Times New Roman"/>
          <w:sz w:val="28"/>
          <w:szCs w:val="28"/>
        </w:rPr>
        <w:t xml:space="preserve"> тыс. рублей</w:t>
      </w:r>
      <w:r w:rsidR="00BB2CFF">
        <w:rPr>
          <w:rFonts w:ascii="Times New Roman" w:hAnsi="Times New Roman"/>
          <w:sz w:val="28"/>
          <w:szCs w:val="28"/>
        </w:rPr>
        <w:t xml:space="preserve"> увеличатся расходы на мероприятия подпрограммы «Комплексная безопасность и мероприятия по проведению ремонтных работ в муниципальных образовательных учреждениях на 2014- 2020 годы»</w:t>
      </w:r>
      <w:r w:rsidR="003F14A4">
        <w:rPr>
          <w:rFonts w:ascii="Times New Roman" w:hAnsi="Times New Roman"/>
          <w:sz w:val="28"/>
          <w:szCs w:val="28"/>
        </w:rPr>
        <w:t xml:space="preserve"> за счет межбюджетных трансфертов из областного бюджета на капитальный ремонт учреждений.</w:t>
      </w:r>
    </w:p>
    <w:p w:rsidR="00BB2CFF" w:rsidRDefault="00BB2CF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подразделу </w:t>
      </w:r>
      <w:r w:rsidRPr="00BB2CFF">
        <w:rPr>
          <w:rFonts w:ascii="Times New Roman" w:hAnsi="Times New Roman"/>
          <w:i/>
          <w:sz w:val="28"/>
          <w:szCs w:val="28"/>
        </w:rPr>
        <w:t>0703 «Дополнительное образование детей»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B2CFF">
        <w:rPr>
          <w:rFonts w:ascii="Times New Roman" w:hAnsi="Times New Roman"/>
          <w:sz w:val="28"/>
          <w:szCs w:val="28"/>
        </w:rPr>
        <w:t>расходы увеличиваются на 69</w:t>
      </w:r>
      <w:r w:rsidR="001F58AC">
        <w:rPr>
          <w:rFonts w:ascii="Times New Roman" w:hAnsi="Times New Roman"/>
          <w:sz w:val="28"/>
          <w:szCs w:val="28"/>
        </w:rPr>
        <w:t xml:space="preserve">87,7 тыс. рублей (на выплаты заработной платы, на содержание школы искусств). </w:t>
      </w:r>
    </w:p>
    <w:p w:rsidR="001F58AC" w:rsidRDefault="001F58AC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254,4 тыс. рублей увеличатся расходы на выплаты персоналу МКУ ВР МЦ «Альтернатива» </w:t>
      </w:r>
      <w:r>
        <w:rPr>
          <w:rFonts w:ascii="Times New Roman" w:hAnsi="Times New Roman"/>
          <w:b/>
          <w:sz w:val="28"/>
          <w:szCs w:val="28"/>
        </w:rPr>
        <w:t>(</w:t>
      </w:r>
      <w:r w:rsidRPr="001F58AC">
        <w:rPr>
          <w:rFonts w:ascii="Times New Roman" w:hAnsi="Times New Roman"/>
          <w:i/>
          <w:sz w:val="28"/>
          <w:szCs w:val="28"/>
        </w:rPr>
        <w:t>подраздел 0707 «Молодежная политика»).</w:t>
      </w:r>
    </w:p>
    <w:p w:rsidR="001F58AC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350">
        <w:rPr>
          <w:rFonts w:ascii="Times New Roman" w:hAnsi="Times New Roman"/>
          <w:sz w:val="28"/>
          <w:szCs w:val="28"/>
        </w:rPr>
        <w:t xml:space="preserve">По подразделу </w:t>
      </w:r>
      <w:r w:rsidRPr="00605350">
        <w:rPr>
          <w:rFonts w:ascii="Times New Roman" w:hAnsi="Times New Roman"/>
          <w:i/>
          <w:sz w:val="28"/>
          <w:szCs w:val="28"/>
        </w:rPr>
        <w:t>0709 «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 </w:t>
      </w:r>
      <w:r w:rsidRPr="00605350">
        <w:rPr>
          <w:rFonts w:ascii="Times New Roman" w:hAnsi="Times New Roman"/>
          <w:sz w:val="28"/>
          <w:szCs w:val="28"/>
          <w:lang w:eastAsia="ru-RU"/>
        </w:rPr>
        <w:t xml:space="preserve">расходы увеличатся на </w:t>
      </w:r>
      <w:r w:rsidR="0033326C">
        <w:rPr>
          <w:rFonts w:ascii="Times New Roman" w:hAnsi="Times New Roman"/>
          <w:sz w:val="28"/>
          <w:szCs w:val="28"/>
          <w:lang w:eastAsia="ru-RU"/>
        </w:rPr>
        <w:t>31242,1</w:t>
      </w:r>
      <w:r w:rsidRPr="0060535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33326C">
        <w:rPr>
          <w:rFonts w:ascii="Times New Roman" w:hAnsi="Times New Roman"/>
          <w:sz w:val="28"/>
          <w:szCs w:val="28"/>
          <w:lang w:eastAsia="ru-RU"/>
        </w:rPr>
        <w:t>106,7</w:t>
      </w:r>
      <w:r w:rsidRPr="00605350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содержание </w:t>
      </w:r>
      <w:r w:rsidR="003F14A4" w:rsidRPr="00B026CD">
        <w:rPr>
          <w:rFonts w:ascii="Times New Roman" w:hAnsi="Times New Roman"/>
          <w:sz w:val="28"/>
          <w:szCs w:val="28"/>
          <w:lang w:eastAsia="ru-RU"/>
        </w:rPr>
        <w:t>м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>етодич</w:t>
      </w:r>
      <w:r w:rsidR="003F14A4" w:rsidRPr="00B026CD">
        <w:rPr>
          <w:rFonts w:ascii="Times New Roman" w:hAnsi="Times New Roman"/>
          <w:sz w:val="28"/>
          <w:szCs w:val="28"/>
          <w:lang w:eastAsia="ru-RU"/>
        </w:rPr>
        <w:t>еского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, за счет корректировки расходов по подразделам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 xml:space="preserve"> 0701 0702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.</w:t>
      </w:r>
      <w:r w:rsidR="00B026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5350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AED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</w:t>
      </w:r>
      <w:r w:rsidR="0033326C">
        <w:rPr>
          <w:rFonts w:ascii="Times New Roman" w:hAnsi="Times New Roman"/>
          <w:sz w:val="28"/>
          <w:szCs w:val="28"/>
          <w:lang w:eastAsia="ru-RU"/>
        </w:rPr>
        <w:t>18947,9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326C">
        <w:rPr>
          <w:rFonts w:ascii="Times New Roman" w:hAnsi="Times New Roman"/>
          <w:sz w:val="28"/>
          <w:szCs w:val="28"/>
          <w:lang w:eastAsia="ru-RU"/>
        </w:rPr>
        <w:t>15,1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3326C">
        <w:rPr>
          <w:rFonts w:ascii="Times New Roman" w:hAnsi="Times New Roman"/>
          <w:sz w:val="28"/>
          <w:szCs w:val="28"/>
          <w:lang w:eastAsia="ru-RU"/>
        </w:rPr>
        <w:t>18211,4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575DD">
        <w:rPr>
          <w:rFonts w:ascii="Times New Roman" w:hAnsi="Times New Roman"/>
          <w:sz w:val="28"/>
          <w:szCs w:val="28"/>
          <w:lang w:eastAsia="ru-RU"/>
        </w:rPr>
        <w:t>,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75DD">
        <w:rPr>
          <w:rFonts w:ascii="Times New Roman" w:hAnsi="Times New Roman"/>
          <w:sz w:val="28"/>
          <w:szCs w:val="28"/>
          <w:lang w:eastAsia="ru-RU"/>
        </w:rPr>
        <w:t xml:space="preserve">в том числе на </w:t>
      </w:r>
      <w:r w:rsidR="004575DD" w:rsidRPr="004575DD">
        <w:rPr>
          <w:rFonts w:ascii="Times New Roman" w:hAnsi="Times New Roman"/>
          <w:sz w:val="28"/>
          <w:szCs w:val="28"/>
          <w:lang w:eastAsia="ru-RU"/>
        </w:rPr>
        <w:t>343</w:t>
      </w:r>
      <w:r w:rsidR="004575DD">
        <w:rPr>
          <w:rFonts w:ascii="Times New Roman" w:hAnsi="Times New Roman"/>
          <w:sz w:val="28"/>
          <w:szCs w:val="28"/>
          <w:lang w:eastAsia="ru-RU"/>
        </w:rPr>
        <w:t xml:space="preserve">4,3 тыс. рублей на мероприятия в сфере культуры, на 15000,0 тыс. рублей на </w:t>
      </w:r>
      <w:r w:rsidR="00B026CD">
        <w:rPr>
          <w:rFonts w:ascii="Times New Roman" w:hAnsi="Times New Roman"/>
          <w:sz w:val="28"/>
          <w:szCs w:val="28"/>
          <w:lang w:eastAsia="ru-RU"/>
        </w:rPr>
        <w:t>капитальный ремонт дома культуры в с. Депо)</w:t>
      </w:r>
      <w:r>
        <w:rPr>
          <w:rFonts w:ascii="Times New Roman" w:hAnsi="Times New Roman"/>
          <w:sz w:val="28"/>
          <w:szCs w:val="28"/>
          <w:lang w:eastAsia="ru-RU"/>
        </w:rPr>
        <w:t xml:space="preserve">, 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0804 «Другие вопросы в области культуры, кинематографии»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на 736,5 тыс. рублей</w:t>
      </w:r>
      <w:r w:rsidR="00B026C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н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>а мероприятия в сфере культуры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).</w:t>
      </w:r>
      <w:r w:rsidR="00B026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5AED" w:rsidRDefault="00AB5AED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65C" w:rsidRDefault="00A9470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 w:rsidRPr="00A94706">
        <w:rPr>
          <w:rFonts w:ascii="Times New Roman" w:hAnsi="Times New Roman"/>
          <w:b/>
          <w:sz w:val="28"/>
          <w:szCs w:val="28"/>
        </w:rPr>
        <w:t>1000 «Социальная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E461C0">
        <w:rPr>
          <w:rFonts w:ascii="Times New Roman" w:hAnsi="Times New Roman"/>
          <w:sz w:val="28"/>
          <w:szCs w:val="28"/>
        </w:rPr>
        <w:t xml:space="preserve">планируется увеличить </w:t>
      </w:r>
      <w:r>
        <w:rPr>
          <w:rFonts w:ascii="Times New Roman" w:hAnsi="Times New Roman"/>
          <w:sz w:val="28"/>
          <w:szCs w:val="28"/>
        </w:rPr>
        <w:t xml:space="preserve">на 355,9 тыс. рублей (2,1 %). Увеличение планируется по подразделу </w:t>
      </w:r>
      <w:r w:rsidRPr="00A94706">
        <w:rPr>
          <w:rFonts w:ascii="Times New Roman" w:hAnsi="Times New Roman"/>
          <w:i/>
          <w:sz w:val="28"/>
          <w:szCs w:val="28"/>
        </w:rPr>
        <w:t>1003 «Социальное обеспечение населения»: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4706">
        <w:rPr>
          <w:rFonts w:ascii="Times New Roman" w:hAnsi="Times New Roman"/>
          <w:sz w:val="28"/>
          <w:szCs w:val="28"/>
        </w:rPr>
        <w:t>на 206,2 тыс. рублей на расходы по реализации мероприятий по обеспечению жильем молодых с</w:t>
      </w:r>
      <w:r>
        <w:rPr>
          <w:rFonts w:ascii="Times New Roman" w:hAnsi="Times New Roman"/>
          <w:sz w:val="28"/>
          <w:szCs w:val="28"/>
        </w:rPr>
        <w:t>емей, на 149,7 тыс. рублей субсидии</w:t>
      </w:r>
      <w:r w:rsidR="00B026CD">
        <w:rPr>
          <w:rFonts w:ascii="Times New Roman" w:hAnsi="Times New Roman"/>
          <w:sz w:val="28"/>
          <w:szCs w:val="28"/>
        </w:rPr>
        <w:t xml:space="preserve"> </w:t>
      </w:r>
      <w:r w:rsidR="009F41EA">
        <w:rPr>
          <w:rFonts w:ascii="Times New Roman" w:hAnsi="Times New Roman"/>
          <w:sz w:val="28"/>
          <w:szCs w:val="28"/>
        </w:rPr>
        <w:t xml:space="preserve">юридическим лицам </w:t>
      </w:r>
      <w:r w:rsidR="00E461C0">
        <w:rPr>
          <w:rFonts w:ascii="Times New Roman" w:hAnsi="Times New Roman"/>
          <w:sz w:val="28"/>
          <w:szCs w:val="28"/>
        </w:rPr>
        <w:t xml:space="preserve">на возмещение недополученных доходов при продаже месячных именных проездных. </w:t>
      </w:r>
    </w:p>
    <w:p w:rsidR="00E461C0" w:rsidRPr="00645ACC" w:rsidRDefault="00E461C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1C0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планир</w:t>
      </w:r>
      <w:r w:rsidR="00E461C0">
        <w:rPr>
          <w:rFonts w:ascii="Times New Roman" w:hAnsi="Times New Roman"/>
          <w:sz w:val="28"/>
          <w:szCs w:val="28"/>
        </w:rPr>
        <w:t xml:space="preserve">уется увеличить объем бюджетных </w:t>
      </w:r>
      <w:r w:rsidRPr="00645ACC">
        <w:rPr>
          <w:rFonts w:ascii="Times New Roman" w:hAnsi="Times New Roman"/>
          <w:sz w:val="28"/>
          <w:szCs w:val="28"/>
        </w:rPr>
        <w:t xml:space="preserve">ассигнований </w:t>
      </w:r>
      <w:r w:rsidR="00E461C0">
        <w:rPr>
          <w:rFonts w:ascii="Times New Roman" w:hAnsi="Times New Roman"/>
          <w:sz w:val="28"/>
          <w:szCs w:val="28"/>
        </w:rPr>
        <w:t xml:space="preserve">по </w:t>
      </w:r>
      <w:r w:rsidRPr="00645ACC">
        <w:rPr>
          <w:rFonts w:ascii="Times New Roman" w:hAnsi="Times New Roman"/>
          <w:b/>
          <w:sz w:val="28"/>
          <w:szCs w:val="28"/>
        </w:rPr>
        <w:t>раздел</w:t>
      </w:r>
      <w:r w:rsidR="00E461C0">
        <w:rPr>
          <w:rFonts w:ascii="Times New Roman" w:hAnsi="Times New Roman"/>
          <w:b/>
          <w:sz w:val="28"/>
          <w:szCs w:val="28"/>
        </w:rPr>
        <w:t>у</w:t>
      </w:r>
      <w:r w:rsidRPr="00645ACC">
        <w:rPr>
          <w:rFonts w:ascii="Times New Roman" w:hAnsi="Times New Roman"/>
          <w:b/>
          <w:sz w:val="28"/>
          <w:szCs w:val="28"/>
        </w:rPr>
        <w:t xml:space="preserve"> 11 «Физическая культура и спорт»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FA3003">
        <w:rPr>
          <w:rFonts w:ascii="Times New Roman" w:hAnsi="Times New Roman"/>
          <w:sz w:val="28"/>
          <w:szCs w:val="28"/>
        </w:rPr>
        <w:t>919,9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E461C0">
        <w:rPr>
          <w:rFonts w:ascii="Times New Roman" w:hAnsi="Times New Roman"/>
          <w:sz w:val="28"/>
          <w:szCs w:val="28"/>
        </w:rPr>
        <w:t xml:space="preserve">+ </w:t>
      </w:r>
      <w:r w:rsidR="00FA3003">
        <w:rPr>
          <w:rFonts w:ascii="Times New Roman" w:hAnsi="Times New Roman"/>
          <w:sz w:val="28"/>
          <w:szCs w:val="28"/>
        </w:rPr>
        <w:t>6,3</w:t>
      </w:r>
      <w:r w:rsidR="00E461C0">
        <w:rPr>
          <w:rFonts w:ascii="Times New Roman" w:hAnsi="Times New Roman"/>
          <w:sz w:val="28"/>
          <w:szCs w:val="28"/>
        </w:rPr>
        <w:t xml:space="preserve"> %)</w:t>
      </w:r>
      <w:r w:rsidRPr="00645ACC">
        <w:rPr>
          <w:rFonts w:ascii="Times New Roman" w:hAnsi="Times New Roman"/>
          <w:sz w:val="28"/>
          <w:szCs w:val="28"/>
        </w:rPr>
        <w:t xml:space="preserve">. </w:t>
      </w:r>
    </w:p>
    <w:p w:rsidR="00B026CD" w:rsidRDefault="00E461C0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658,3 тыс. рублей увеличатся расходы по подразделу 1101 «Физическая культура» (повышение зарплаты персоналу </w:t>
      </w:r>
      <w:proofErr w:type="spellStart"/>
      <w:r>
        <w:rPr>
          <w:rFonts w:ascii="Times New Roman" w:hAnsi="Times New Roman"/>
          <w:sz w:val="28"/>
          <w:szCs w:val="28"/>
        </w:rPr>
        <w:t>ФОКа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B026CD" w:rsidRDefault="00E461C0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1102 «Массовый спорт» увеличение составит 261,6 тыс. рублей на обустройство объектов городской инфраструктуры </w:t>
      </w:r>
      <w:r w:rsidR="002B6A0D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спортом. </w:t>
      </w:r>
    </w:p>
    <w:p w:rsidR="00B026CD" w:rsidRDefault="00B026CD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65C" w:rsidRPr="00AA4C1C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В разделе </w:t>
      </w:r>
      <w:r w:rsidRPr="00645ACC">
        <w:rPr>
          <w:rFonts w:ascii="Times New Roman" w:hAnsi="Times New Roman"/>
          <w:b/>
          <w:sz w:val="28"/>
          <w:szCs w:val="28"/>
        </w:rPr>
        <w:t>14 «</w:t>
      </w:r>
      <w:r w:rsidR="002B6A0D" w:rsidRPr="002B6A0D">
        <w:rPr>
          <w:rFonts w:ascii="Times New Roman" w:hAnsi="Times New Roman"/>
          <w:b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2B6A0D">
        <w:rPr>
          <w:rFonts w:ascii="Times New Roman" w:hAnsi="Times New Roman"/>
          <w:b/>
          <w:sz w:val="28"/>
          <w:szCs w:val="28"/>
        </w:rPr>
        <w:t xml:space="preserve">» </w:t>
      </w:r>
      <w:r w:rsidRPr="00645ACC">
        <w:rPr>
          <w:rFonts w:ascii="Times New Roman" w:hAnsi="Times New Roman"/>
          <w:sz w:val="28"/>
          <w:szCs w:val="28"/>
        </w:rPr>
        <w:t xml:space="preserve">предусмотрено </w:t>
      </w:r>
      <w:r w:rsidR="00AA4C1C">
        <w:rPr>
          <w:rFonts w:ascii="Times New Roman" w:hAnsi="Times New Roman"/>
          <w:sz w:val="28"/>
          <w:szCs w:val="28"/>
        </w:rPr>
        <w:t>увеличение дотаций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 w:rsidR="00AA4C1C">
        <w:rPr>
          <w:rFonts w:ascii="Times New Roman" w:hAnsi="Times New Roman"/>
          <w:sz w:val="28"/>
          <w:szCs w:val="28"/>
        </w:rPr>
        <w:t>1</w:t>
      </w:r>
      <w:r w:rsidR="00FA3003">
        <w:rPr>
          <w:rFonts w:ascii="Times New Roman" w:hAnsi="Times New Roman"/>
          <w:sz w:val="28"/>
          <w:szCs w:val="28"/>
        </w:rPr>
        <w:t>349,5</w:t>
      </w:r>
      <w:r w:rsidR="00AA4C1C">
        <w:rPr>
          <w:rFonts w:ascii="Times New Roman" w:hAnsi="Times New Roman"/>
          <w:sz w:val="28"/>
          <w:szCs w:val="28"/>
        </w:rPr>
        <w:t xml:space="preserve"> тыс. рублей</w:t>
      </w:r>
      <w:r w:rsidR="00AA4C1C" w:rsidRPr="00AA4C1C">
        <w:rPr>
          <w:rFonts w:ascii="Times New Roman" w:hAnsi="Times New Roman"/>
          <w:sz w:val="28"/>
          <w:szCs w:val="28"/>
        </w:rPr>
        <w:t xml:space="preserve">: </w:t>
      </w:r>
      <w:r w:rsidR="00AA4C1C">
        <w:rPr>
          <w:rFonts w:ascii="Times New Roman" w:hAnsi="Times New Roman"/>
          <w:sz w:val="28"/>
          <w:szCs w:val="28"/>
        </w:rPr>
        <w:t xml:space="preserve">на </w:t>
      </w:r>
      <w:r w:rsidR="00FA3003">
        <w:rPr>
          <w:rFonts w:ascii="Times New Roman" w:hAnsi="Times New Roman"/>
          <w:sz w:val="28"/>
          <w:szCs w:val="28"/>
        </w:rPr>
        <w:t>262,8</w:t>
      </w:r>
      <w:r w:rsidR="00AA4C1C">
        <w:rPr>
          <w:rFonts w:ascii="Times New Roman" w:hAnsi="Times New Roman"/>
          <w:sz w:val="28"/>
          <w:szCs w:val="28"/>
        </w:rPr>
        <w:t xml:space="preserve"> тыс. рублей – дотации на поддержку мер по обеспечению сбалансированности бюджетов поселений</w:t>
      </w:r>
      <w:r w:rsidR="00AB5AED">
        <w:rPr>
          <w:rFonts w:ascii="Times New Roman" w:hAnsi="Times New Roman"/>
          <w:sz w:val="28"/>
          <w:szCs w:val="28"/>
        </w:rPr>
        <w:t xml:space="preserve"> (</w:t>
      </w:r>
      <w:r w:rsidR="00B026CD">
        <w:rPr>
          <w:rFonts w:ascii="Times New Roman" w:hAnsi="Times New Roman"/>
          <w:sz w:val="28"/>
          <w:szCs w:val="28"/>
        </w:rPr>
        <w:t>на содержание площадок для сбора ТБО)</w:t>
      </w:r>
      <w:r w:rsidR="00AA4C1C">
        <w:rPr>
          <w:rFonts w:ascii="Times New Roman" w:hAnsi="Times New Roman"/>
          <w:sz w:val="28"/>
          <w:szCs w:val="28"/>
        </w:rPr>
        <w:t xml:space="preserve">, на 1086,7 тыс. рублей – дотации на реализацию расходных обязательств муниципальных образований в части обеспечения выплаты заработной платы работникам муниципальных учреждений. 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</w:t>
      </w:r>
    </w:p>
    <w:p w:rsidR="004837E0" w:rsidRPr="00645ACC" w:rsidRDefault="004837E0" w:rsidP="00483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утверждается д</w:t>
      </w:r>
      <w:r w:rsidR="00AA4C1C" w:rsidRPr="00AA4C1C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>в объеме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="00FA3003">
        <w:rPr>
          <w:rFonts w:ascii="Times New Roman" w:hAnsi="Times New Roman"/>
          <w:sz w:val="28"/>
          <w:szCs w:val="28"/>
        </w:rPr>
        <w:t>14451,7</w:t>
      </w:r>
      <w:r w:rsidR="00AA4C1C" w:rsidRPr="00AA4C1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 01.20</w:t>
      </w:r>
      <w:r>
        <w:rPr>
          <w:rFonts w:ascii="Times New Roman" w:hAnsi="Times New Roman"/>
          <w:sz w:val="28"/>
          <w:szCs w:val="28"/>
        </w:rPr>
        <w:t>20</w:t>
      </w:r>
      <w:r w:rsidRPr="00645ACC">
        <w:rPr>
          <w:rFonts w:ascii="Times New Roman" w:hAnsi="Times New Roman"/>
          <w:sz w:val="28"/>
          <w:szCs w:val="28"/>
        </w:rPr>
        <w:t xml:space="preserve"> года.</w:t>
      </w:r>
    </w:p>
    <w:p w:rsidR="00AA4C1C" w:rsidRPr="00AA4C1C" w:rsidRDefault="00AA4C1C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C1C">
        <w:rPr>
          <w:rFonts w:ascii="Times New Roman" w:hAnsi="Times New Roman"/>
          <w:sz w:val="28"/>
          <w:szCs w:val="28"/>
        </w:rPr>
        <w:lastRenderedPageBreak/>
        <w:t>Предлагаемый к утверждению объем дефицита соответствует нормам статьи 92.1 Бюджетного кодекса Российской Федерации.</w:t>
      </w:r>
    </w:p>
    <w:p w:rsidR="00AA4C1C" w:rsidRDefault="00AA4C1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0D3" w:rsidRPr="001830D3" w:rsidRDefault="001830D3" w:rsidP="001830D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026CD">
        <w:rPr>
          <w:rFonts w:ascii="Times New Roman" w:hAnsi="Times New Roman"/>
          <w:bCs/>
          <w:sz w:val="28"/>
          <w:szCs w:val="28"/>
        </w:rPr>
        <w:t xml:space="preserve">Объем расходов на 2020 год, запланированный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соответствует нормативу </w:t>
      </w:r>
      <w:r w:rsidR="00C65572">
        <w:rPr>
          <w:rFonts w:ascii="Times New Roman" w:hAnsi="Times New Roman"/>
          <w:bCs/>
          <w:sz w:val="28"/>
          <w:szCs w:val="28"/>
        </w:rPr>
        <w:t>32190,4</w:t>
      </w:r>
      <w:r w:rsidRPr="00B026CD">
        <w:rPr>
          <w:rFonts w:ascii="Times New Roman" w:hAnsi="Times New Roman"/>
          <w:bCs/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</w:t>
      </w:r>
      <w:r w:rsidR="00C65572">
        <w:rPr>
          <w:rFonts w:ascii="Times New Roman" w:hAnsi="Times New Roman"/>
          <w:bCs/>
          <w:sz w:val="28"/>
          <w:szCs w:val="28"/>
        </w:rPr>
        <w:t xml:space="preserve">естного самоуправления области» (с изменениями от 10.03.2020 г. Постановление № 211). </w:t>
      </w:r>
    </w:p>
    <w:p w:rsidR="00AA4C1C" w:rsidRDefault="00AA4C1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7A" w:rsidRDefault="00B5057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изменений объем межбюджетных трансфертов, предоставляемых бюджетам поселений из бюджета района на осуществление части полномочий по решению вопросов местного значения в соответствии с заключенными соглашениями на 2020 год составит </w:t>
      </w:r>
      <w:r w:rsidR="00BF3E90">
        <w:rPr>
          <w:rFonts w:ascii="Times New Roman" w:hAnsi="Times New Roman"/>
          <w:sz w:val="28"/>
          <w:szCs w:val="28"/>
        </w:rPr>
        <w:t xml:space="preserve">25207,0 </w:t>
      </w:r>
      <w:r>
        <w:rPr>
          <w:rFonts w:ascii="Times New Roman" w:hAnsi="Times New Roman"/>
          <w:sz w:val="28"/>
          <w:szCs w:val="28"/>
        </w:rPr>
        <w:t>тыс. рублей (+20</w:t>
      </w:r>
      <w:r w:rsidR="00BF3E90">
        <w:rPr>
          <w:rFonts w:ascii="Times New Roman" w:hAnsi="Times New Roman"/>
          <w:sz w:val="28"/>
          <w:szCs w:val="28"/>
        </w:rPr>
        <w:t>301,</w:t>
      </w:r>
      <w:r>
        <w:rPr>
          <w:rFonts w:ascii="Times New Roman" w:hAnsi="Times New Roman"/>
          <w:sz w:val="28"/>
          <w:szCs w:val="28"/>
        </w:rPr>
        <w:t xml:space="preserve">0 тыс. рублей). Соответствующие изменения внесены в подпункт 1 пункта 15 </w:t>
      </w:r>
      <w:r w:rsidRPr="00BB171E">
        <w:rPr>
          <w:rFonts w:ascii="Times New Roman" w:hAnsi="Times New Roman"/>
          <w:sz w:val="28"/>
          <w:szCs w:val="28"/>
        </w:rPr>
        <w:t>решения от 11 декабря 2019 г. № 276 «О районном бюджете на 2020 год и плановый период 2021и 2022 годов».</w:t>
      </w:r>
    </w:p>
    <w:p w:rsidR="00B5057A" w:rsidRPr="00645ACC" w:rsidRDefault="00B5057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26" w:rsidRDefault="006836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муниципальных программ</w:t>
      </w:r>
      <w:r w:rsidR="00E00926">
        <w:rPr>
          <w:rFonts w:ascii="Times New Roman" w:hAnsi="Times New Roman"/>
          <w:sz w:val="28"/>
          <w:szCs w:val="28"/>
        </w:rPr>
        <w:t xml:space="preserve"> на 2020 год </w:t>
      </w:r>
      <w:r>
        <w:rPr>
          <w:rFonts w:ascii="Times New Roman" w:hAnsi="Times New Roman"/>
          <w:sz w:val="28"/>
          <w:szCs w:val="28"/>
        </w:rPr>
        <w:t>(</w:t>
      </w:r>
      <w:r w:rsidR="00E00926">
        <w:rPr>
          <w:rFonts w:ascii="Times New Roman" w:hAnsi="Times New Roman"/>
          <w:sz w:val="28"/>
          <w:szCs w:val="28"/>
        </w:rPr>
        <w:t xml:space="preserve">увеличение составит </w:t>
      </w:r>
      <w:r w:rsidR="00BF3E90">
        <w:rPr>
          <w:rFonts w:ascii="Times New Roman" w:hAnsi="Times New Roman"/>
          <w:sz w:val="28"/>
          <w:szCs w:val="28"/>
        </w:rPr>
        <w:t>117567,5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0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рублей). Общий объем средств, направляемый на реализацию муниципальных </w:t>
      </w:r>
      <w:r w:rsidR="007E5A3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</w:t>
      </w:r>
      <w:r w:rsidR="00E009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составит в 20</w:t>
      </w:r>
      <w:r w:rsidR="00E009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BF3E90">
        <w:rPr>
          <w:rFonts w:ascii="Times New Roman" w:hAnsi="Times New Roman"/>
          <w:sz w:val="28"/>
          <w:szCs w:val="28"/>
        </w:rPr>
        <w:t>1057209,4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0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B5057A" w:rsidRDefault="00B5057A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7A" w:rsidRDefault="00B5057A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E3D" w:rsidRDefault="00E0092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6C78">
        <w:rPr>
          <w:rFonts w:ascii="Times New Roman" w:hAnsi="Times New Roman"/>
          <w:sz w:val="28"/>
          <w:szCs w:val="28"/>
        </w:rPr>
        <w:t xml:space="preserve"> Объем расходной части бюджета планового периода 2021 года сократится на </w:t>
      </w:r>
      <w:r w:rsidR="00BF3E90">
        <w:rPr>
          <w:rFonts w:ascii="Times New Roman" w:hAnsi="Times New Roman"/>
          <w:sz w:val="28"/>
          <w:szCs w:val="28"/>
        </w:rPr>
        <w:t xml:space="preserve">74350,3 </w:t>
      </w:r>
      <w:r w:rsidR="003E6C7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BF3E90">
        <w:rPr>
          <w:rFonts w:ascii="Times New Roman" w:hAnsi="Times New Roman"/>
          <w:sz w:val="28"/>
          <w:szCs w:val="28"/>
        </w:rPr>
        <w:t>7,</w:t>
      </w:r>
      <w:r w:rsidR="00E514A8">
        <w:rPr>
          <w:rFonts w:ascii="Times New Roman" w:hAnsi="Times New Roman"/>
          <w:sz w:val="28"/>
          <w:szCs w:val="28"/>
        </w:rPr>
        <w:t>5</w:t>
      </w:r>
      <w:r w:rsidR="003E6C78">
        <w:rPr>
          <w:rFonts w:ascii="Times New Roman" w:hAnsi="Times New Roman"/>
          <w:sz w:val="28"/>
          <w:szCs w:val="28"/>
        </w:rPr>
        <w:t xml:space="preserve"> % и составит </w:t>
      </w:r>
      <w:r w:rsidR="00E514A8">
        <w:rPr>
          <w:rFonts w:ascii="Times New Roman" w:hAnsi="Times New Roman"/>
          <w:sz w:val="28"/>
          <w:szCs w:val="28"/>
        </w:rPr>
        <w:t>918826,7</w:t>
      </w:r>
      <w:r w:rsidR="003E6C78">
        <w:rPr>
          <w:rFonts w:ascii="Times New Roman" w:hAnsi="Times New Roman"/>
          <w:sz w:val="28"/>
          <w:szCs w:val="28"/>
        </w:rPr>
        <w:t xml:space="preserve"> тыс. рублей. </w:t>
      </w:r>
      <w:r w:rsidR="00B13FE9">
        <w:rPr>
          <w:rFonts w:ascii="Times New Roman" w:hAnsi="Times New Roman"/>
          <w:sz w:val="28"/>
          <w:szCs w:val="28"/>
        </w:rPr>
        <w:t>Внесение и</w:t>
      </w:r>
      <w:r w:rsidR="003E6C78">
        <w:rPr>
          <w:rFonts w:ascii="Times New Roman" w:hAnsi="Times New Roman"/>
          <w:sz w:val="28"/>
          <w:szCs w:val="28"/>
        </w:rPr>
        <w:t>зменени</w:t>
      </w:r>
      <w:r w:rsidR="00B13FE9">
        <w:rPr>
          <w:rFonts w:ascii="Times New Roman" w:hAnsi="Times New Roman"/>
          <w:sz w:val="28"/>
          <w:szCs w:val="28"/>
        </w:rPr>
        <w:t>й</w:t>
      </w:r>
      <w:r w:rsidR="003E6C78">
        <w:rPr>
          <w:rFonts w:ascii="Times New Roman" w:hAnsi="Times New Roman"/>
          <w:sz w:val="28"/>
          <w:szCs w:val="28"/>
        </w:rPr>
        <w:t xml:space="preserve"> обусловлен</w:t>
      </w:r>
      <w:r w:rsidR="00B13FE9">
        <w:rPr>
          <w:rFonts w:ascii="Times New Roman" w:hAnsi="Times New Roman"/>
          <w:sz w:val="28"/>
          <w:szCs w:val="28"/>
        </w:rPr>
        <w:t>о</w:t>
      </w:r>
      <w:r w:rsidR="003E6C78">
        <w:rPr>
          <w:rFonts w:ascii="Times New Roman" w:hAnsi="Times New Roman"/>
          <w:sz w:val="28"/>
          <w:szCs w:val="28"/>
        </w:rPr>
        <w:t xml:space="preserve"> </w:t>
      </w:r>
      <w:r w:rsidR="009B4E3D">
        <w:rPr>
          <w:rFonts w:ascii="Times New Roman" w:hAnsi="Times New Roman"/>
          <w:sz w:val="28"/>
          <w:szCs w:val="28"/>
        </w:rPr>
        <w:t>сокращением до</w:t>
      </w:r>
      <w:r w:rsidR="00275E63">
        <w:rPr>
          <w:rFonts w:ascii="Times New Roman" w:hAnsi="Times New Roman"/>
          <w:sz w:val="28"/>
          <w:szCs w:val="28"/>
        </w:rPr>
        <w:t xml:space="preserve">ходной части бюджета на </w:t>
      </w:r>
      <w:r w:rsidR="00E514A8">
        <w:rPr>
          <w:rFonts w:ascii="Times New Roman" w:hAnsi="Times New Roman"/>
          <w:sz w:val="28"/>
          <w:szCs w:val="28"/>
        </w:rPr>
        <w:t>74350,3</w:t>
      </w:r>
      <w:r w:rsidR="00275E63">
        <w:rPr>
          <w:rFonts w:ascii="Times New Roman" w:hAnsi="Times New Roman"/>
          <w:sz w:val="28"/>
          <w:szCs w:val="28"/>
        </w:rPr>
        <w:t xml:space="preserve"> тыс. рублей.</w:t>
      </w:r>
    </w:p>
    <w:p w:rsidR="00B13FE9" w:rsidRDefault="00B13FE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FE9" w:rsidRDefault="009B4E3D" w:rsidP="00B13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FE9">
        <w:rPr>
          <w:rFonts w:ascii="Times New Roman" w:hAnsi="Times New Roman"/>
          <w:sz w:val="28"/>
          <w:szCs w:val="28"/>
        </w:rPr>
        <w:t xml:space="preserve">Проектом решения предлагается сократить расходы по разделу </w:t>
      </w:r>
      <w:r w:rsidR="00B13FE9" w:rsidRPr="00645AC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B13FE9">
        <w:rPr>
          <w:rFonts w:ascii="Times New Roman" w:hAnsi="Times New Roman"/>
          <w:b/>
          <w:sz w:val="28"/>
          <w:szCs w:val="28"/>
        </w:rPr>
        <w:t xml:space="preserve"> </w:t>
      </w:r>
      <w:r w:rsidR="00B13FE9" w:rsidRPr="00B13FE9">
        <w:rPr>
          <w:rFonts w:ascii="Times New Roman" w:hAnsi="Times New Roman"/>
          <w:sz w:val="28"/>
          <w:szCs w:val="28"/>
        </w:rPr>
        <w:t>на 89243,2 тыс. рублей, или на 40,2 %.</w:t>
      </w:r>
      <w:r w:rsidR="00B13FE9" w:rsidRPr="00645ACC">
        <w:rPr>
          <w:rFonts w:ascii="Times New Roman" w:hAnsi="Times New Roman"/>
          <w:b/>
          <w:sz w:val="28"/>
          <w:szCs w:val="28"/>
        </w:rPr>
        <w:t xml:space="preserve"> </w:t>
      </w:r>
      <w:r w:rsidR="00B13FE9" w:rsidRPr="00645ACC">
        <w:rPr>
          <w:rFonts w:ascii="Times New Roman" w:hAnsi="Times New Roman"/>
          <w:sz w:val="28"/>
          <w:szCs w:val="28"/>
        </w:rPr>
        <w:t>У</w:t>
      </w:r>
      <w:r w:rsidR="00B13FE9">
        <w:rPr>
          <w:rFonts w:ascii="Times New Roman" w:hAnsi="Times New Roman"/>
          <w:sz w:val="28"/>
          <w:szCs w:val="28"/>
        </w:rPr>
        <w:t xml:space="preserve">меньшение произойдет по подразделу </w:t>
      </w:r>
      <w:r w:rsidR="00B13FE9"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 w:rsidR="00B13FE9">
        <w:rPr>
          <w:rFonts w:ascii="Times New Roman" w:hAnsi="Times New Roman"/>
          <w:sz w:val="28"/>
          <w:szCs w:val="28"/>
        </w:rPr>
        <w:t xml:space="preserve"> (мероприятия по строительству с длительным сроком окупаемости). </w:t>
      </w:r>
    </w:p>
    <w:p w:rsidR="00B13FE9" w:rsidRPr="00645ACC" w:rsidRDefault="00B13FE9" w:rsidP="00B13F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3FE9" w:rsidRDefault="00B13FE9" w:rsidP="00B13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918,6 тыс. рублей (- 2,0 %) планируется сократить расходы по разделу </w:t>
      </w:r>
      <w:r w:rsidRPr="00B13FE9">
        <w:rPr>
          <w:rFonts w:ascii="Times New Roman" w:hAnsi="Times New Roman"/>
          <w:b/>
          <w:sz w:val="28"/>
          <w:szCs w:val="28"/>
        </w:rPr>
        <w:t xml:space="preserve">05 </w:t>
      </w:r>
      <w:r w:rsidRPr="00645ACC">
        <w:rPr>
          <w:rFonts w:ascii="Times New Roman" w:hAnsi="Times New Roman"/>
          <w:b/>
          <w:sz w:val="28"/>
          <w:szCs w:val="28"/>
        </w:rPr>
        <w:t>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том числе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732,7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сокращаются расходы на мероприятия по благоустройству</w:t>
      </w:r>
      <w:r w:rsidR="005B13EC">
        <w:rPr>
          <w:rFonts w:ascii="Times New Roman" w:hAnsi="Times New Roman"/>
          <w:sz w:val="28"/>
          <w:szCs w:val="28"/>
        </w:rPr>
        <w:t xml:space="preserve"> дворовых и</w:t>
      </w:r>
      <w:r>
        <w:rPr>
          <w:rFonts w:ascii="Times New Roman" w:hAnsi="Times New Roman"/>
          <w:sz w:val="28"/>
          <w:szCs w:val="28"/>
        </w:rPr>
        <w:t xml:space="preserve"> общественных территорий (</w:t>
      </w:r>
      <w:r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 w:rsidR="005B13EC">
        <w:rPr>
          <w:rFonts w:ascii="Times New Roman" w:hAnsi="Times New Roman"/>
          <w:sz w:val="28"/>
          <w:szCs w:val="28"/>
        </w:rPr>
        <w:t xml:space="preserve">, на 185,9 тыс. рублей </w:t>
      </w:r>
      <w:r w:rsidR="005B13EC" w:rsidRPr="00645ACC">
        <w:rPr>
          <w:rFonts w:ascii="Times New Roman" w:hAnsi="Times New Roman"/>
          <w:sz w:val="28"/>
          <w:szCs w:val="28"/>
        </w:rPr>
        <w:t>на содержание Управления ЖКХ, транспорта и строительства (подраздел 0505 «Другие вопросы в области жилищно-к</w:t>
      </w:r>
      <w:r w:rsidR="005B13EC">
        <w:rPr>
          <w:rFonts w:ascii="Times New Roman" w:hAnsi="Times New Roman"/>
          <w:sz w:val="28"/>
          <w:szCs w:val="28"/>
        </w:rPr>
        <w:t xml:space="preserve">оммунального </w:t>
      </w:r>
      <w:r w:rsidR="005B13EC" w:rsidRPr="00C65572">
        <w:rPr>
          <w:rFonts w:ascii="Times New Roman" w:hAnsi="Times New Roman"/>
          <w:sz w:val="28"/>
          <w:szCs w:val="28"/>
        </w:rPr>
        <w:t>хозяйства)</w:t>
      </w:r>
      <w:r w:rsidR="00C65572" w:rsidRPr="00C65572">
        <w:rPr>
          <w:rFonts w:ascii="Times New Roman" w:hAnsi="Times New Roman"/>
          <w:sz w:val="28"/>
          <w:szCs w:val="28"/>
        </w:rPr>
        <w:t xml:space="preserve">. </w:t>
      </w:r>
    </w:p>
    <w:p w:rsidR="00E00926" w:rsidRDefault="00E0092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 w:rsidR="001C7D78">
        <w:rPr>
          <w:rFonts w:ascii="Times New Roman" w:hAnsi="Times New Roman"/>
          <w:sz w:val="28"/>
          <w:szCs w:val="28"/>
        </w:rPr>
        <w:t xml:space="preserve">на 2021 год </w:t>
      </w:r>
      <w:r w:rsidRPr="006B0A19">
        <w:rPr>
          <w:rFonts w:ascii="Times New Roman" w:hAnsi="Times New Roman"/>
          <w:sz w:val="28"/>
          <w:szCs w:val="28"/>
        </w:rPr>
        <w:t xml:space="preserve">увеличится на </w:t>
      </w:r>
      <w:r w:rsidR="00E514A8">
        <w:rPr>
          <w:rFonts w:ascii="Times New Roman" w:hAnsi="Times New Roman"/>
          <w:sz w:val="28"/>
          <w:szCs w:val="28"/>
        </w:rPr>
        <w:t>811,5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E514A8">
        <w:rPr>
          <w:rFonts w:ascii="Times New Roman" w:hAnsi="Times New Roman"/>
          <w:sz w:val="28"/>
          <w:szCs w:val="28"/>
        </w:rPr>
        <w:t>0,2</w:t>
      </w:r>
      <w:r>
        <w:rPr>
          <w:rFonts w:ascii="Times New Roman" w:hAnsi="Times New Roman"/>
          <w:sz w:val="28"/>
          <w:szCs w:val="28"/>
        </w:rPr>
        <w:t xml:space="preserve"> % и составит 4</w:t>
      </w:r>
      <w:r w:rsidR="00E514A8">
        <w:rPr>
          <w:rFonts w:ascii="Times New Roman" w:hAnsi="Times New Roman"/>
          <w:sz w:val="28"/>
          <w:szCs w:val="28"/>
        </w:rPr>
        <w:t>82616,2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6B0A19">
        <w:rPr>
          <w:rFonts w:ascii="Times New Roman" w:hAnsi="Times New Roman"/>
          <w:sz w:val="28"/>
          <w:szCs w:val="28"/>
        </w:rPr>
        <w:t>.</w:t>
      </w:r>
    </w:p>
    <w:p w:rsidR="005B13EC" w:rsidRPr="00C65572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514A8">
        <w:rPr>
          <w:rFonts w:ascii="Times New Roman" w:hAnsi="Times New Roman"/>
          <w:sz w:val="28"/>
          <w:szCs w:val="28"/>
        </w:rPr>
        <w:t xml:space="preserve">923,9 </w:t>
      </w:r>
      <w:r>
        <w:rPr>
          <w:rFonts w:ascii="Times New Roman" w:hAnsi="Times New Roman"/>
          <w:sz w:val="28"/>
          <w:szCs w:val="28"/>
        </w:rPr>
        <w:t xml:space="preserve">тыс. рублей увеличатся расходы по подразделу </w:t>
      </w:r>
      <w:r w:rsidRPr="006B0A19">
        <w:rPr>
          <w:rFonts w:ascii="Times New Roman" w:hAnsi="Times New Roman"/>
          <w:i/>
          <w:sz w:val="28"/>
          <w:szCs w:val="28"/>
        </w:rPr>
        <w:t>0701 «</w:t>
      </w:r>
      <w:r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Pr="00C65572">
        <w:rPr>
          <w:rFonts w:ascii="Times New Roman" w:hAnsi="Times New Roman"/>
          <w:sz w:val="28"/>
          <w:szCs w:val="28"/>
          <w:lang w:eastAsia="ru-RU"/>
        </w:rPr>
        <w:t xml:space="preserve">» (субсидии бюджетным учреждениям). </w:t>
      </w: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</w:t>
      </w:r>
      <w:r w:rsidR="00E514A8">
        <w:rPr>
          <w:rFonts w:ascii="Times New Roman" w:hAnsi="Times New Roman"/>
          <w:sz w:val="28"/>
          <w:szCs w:val="28"/>
        </w:rPr>
        <w:t>меньшатся на 112,4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514A8">
        <w:rPr>
          <w:rFonts w:ascii="Times New Roman" w:hAnsi="Times New Roman"/>
          <w:sz w:val="28"/>
          <w:szCs w:val="28"/>
        </w:rPr>
        <w:t>, при этом</w:t>
      </w:r>
      <w:r w:rsidR="00E514A8" w:rsidRPr="00E514A8">
        <w:rPr>
          <w:rFonts w:ascii="Times New Roman" w:hAnsi="Times New Roman"/>
          <w:sz w:val="28"/>
          <w:szCs w:val="28"/>
        </w:rPr>
        <w:t>:</w:t>
      </w:r>
      <w:r w:rsidR="00E514A8">
        <w:rPr>
          <w:rFonts w:ascii="Times New Roman" w:hAnsi="Times New Roman"/>
          <w:sz w:val="28"/>
          <w:szCs w:val="28"/>
        </w:rPr>
        <w:t xml:space="preserve"> </w:t>
      </w:r>
      <w:r w:rsidR="002C3FE9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>на обеспечение общеобразовательного процесса в муниципальных об</w:t>
      </w:r>
      <w:r w:rsidR="00E514A8">
        <w:rPr>
          <w:rFonts w:ascii="Times New Roman" w:hAnsi="Times New Roman"/>
          <w:sz w:val="28"/>
          <w:szCs w:val="28"/>
        </w:rPr>
        <w:t xml:space="preserve">щеобразовательных организациях </w:t>
      </w:r>
      <w:r w:rsidR="002C3FE9">
        <w:rPr>
          <w:rFonts w:ascii="Times New Roman" w:hAnsi="Times New Roman"/>
          <w:sz w:val="28"/>
          <w:szCs w:val="28"/>
        </w:rPr>
        <w:t xml:space="preserve">увеличены на 13387,6 тыс. рублей, на мероприятия по обеспечению комплексной безопасности расходы уменьшатся на 13500,0 тыс. рублей. </w:t>
      </w: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C7D78" w:rsidRPr="001C7D78" w:rsidRDefault="001C7D78" w:rsidP="001C7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655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</w:t>
      </w:r>
      <w:r w:rsidR="002C3FE9">
        <w:rPr>
          <w:rFonts w:ascii="Times New Roman" w:hAnsi="Times New Roman"/>
          <w:sz w:val="28"/>
          <w:szCs w:val="28"/>
          <w:lang w:eastAsia="ru-RU"/>
        </w:rPr>
        <w:t>15000,0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2C3FE9">
        <w:rPr>
          <w:rFonts w:ascii="Times New Roman" w:hAnsi="Times New Roman"/>
          <w:sz w:val="28"/>
          <w:szCs w:val="28"/>
          <w:lang w:eastAsia="ru-RU"/>
        </w:rPr>
        <w:t>19,4</w:t>
      </w:r>
      <w:r>
        <w:rPr>
          <w:rFonts w:ascii="Times New Roman" w:hAnsi="Times New Roman"/>
          <w:sz w:val="28"/>
          <w:szCs w:val="28"/>
          <w:lang w:eastAsia="ru-RU"/>
        </w:rPr>
        <w:t xml:space="preserve"> %). Увеличение планируется 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C7D78">
        <w:rPr>
          <w:rFonts w:ascii="Times New Roman" w:hAnsi="Times New Roman"/>
          <w:sz w:val="28"/>
          <w:szCs w:val="28"/>
          <w:lang w:eastAsia="ru-RU"/>
        </w:rPr>
        <w:t>(</w:t>
      </w:r>
      <w:r w:rsidR="002C3FE9">
        <w:rPr>
          <w:rFonts w:ascii="Times New Roman" w:hAnsi="Times New Roman"/>
          <w:sz w:val="28"/>
          <w:szCs w:val="28"/>
          <w:lang w:eastAsia="ru-RU"/>
        </w:rPr>
        <w:t>капитальный ремонт ДК Депо)</w:t>
      </w:r>
      <w:r w:rsidRPr="001C7D78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572" w:rsidRDefault="00C65572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78" w:rsidRDefault="001C7D78" w:rsidP="001C7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Объем расходной части бюджета планового периода 2022 года </w:t>
      </w:r>
      <w:r w:rsidR="00824C71">
        <w:rPr>
          <w:rFonts w:ascii="Times New Roman" w:hAnsi="Times New Roman"/>
          <w:sz w:val="28"/>
          <w:szCs w:val="28"/>
        </w:rPr>
        <w:t>увеличится на 39877,8 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824C71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% и составит </w:t>
      </w:r>
      <w:r w:rsidR="00824C71">
        <w:rPr>
          <w:rFonts w:ascii="Times New Roman" w:hAnsi="Times New Roman"/>
          <w:sz w:val="28"/>
          <w:szCs w:val="28"/>
        </w:rPr>
        <w:t>900860,6</w:t>
      </w:r>
      <w:r>
        <w:rPr>
          <w:rFonts w:ascii="Times New Roman" w:hAnsi="Times New Roman"/>
          <w:sz w:val="28"/>
          <w:szCs w:val="28"/>
        </w:rPr>
        <w:t xml:space="preserve"> тыс. рублей. Внесение изменений обусловлено </w:t>
      </w:r>
      <w:r w:rsidR="00824C71">
        <w:rPr>
          <w:rFonts w:ascii="Times New Roman" w:hAnsi="Times New Roman"/>
          <w:sz w:val="28"/>
          <w:szCs w:val="28"/>
        </w:rPr>
        <w:t>увеличением до</w:t>
      </w:r>
      <w:r>
        <w:rPr>
          <w:rFonts w:ascii="Times New Roman" w:hAnsi="Times New Roman"/>
          <w:sz w:val="28"/>
          <w:szCs w:val="28"/>
        </w:rPr>
        <w:t xml:space="preserve">ходной части бюджета на </w:t>
      </w:r>
      <w:r w:rsidR="00824C71">
        <w:rPr>
          <w:rFonts w:ascii="Times New Roman" w:hAnsi="Times New Roman"/>
          <w:sz w:val="28"/>
          <w:szCs w:val="28"/>
        </w:rPr>
        <w:t>39877,8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F0213" w:rsidRDefault="001F0213" w:rsidP="001C7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увеличить расходы по разделу </w:t>
      </w:r>
      <w:r w:rsidRPr="00645AC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FE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3726,7</w:t>
      </w:r>
      <w:r w:rsidRPr="00B13FE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6,3</w:t>
      </w:r>
      <w:r w:rsidRPr="00B13FE9">
        <w:rPr>
          <w:rFonts w:ascii="Times New Roman" w:hAnsi="Times New Roman"/>
          <w:sz w:val="28"/>
          <w:szCs w:val="28"/>
        </w:rPr>
        <w:t xml:space="preserve"> %.</w:t>
      </w:r>
      <w:r w:rsidRPr="00645ACC">
        <w:rPr>
          <w:rFonts w:ascii="Times New Roman" w:hAnsi="Times New Roman"/>
          <w:b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величатся расходы по подразделу </w:t>
      </w:r>
      <w:r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F0213">
        <w:rPr>
          <w:rFonts w:ascii="Times New Roman" w:hAnsi="Times New Roman"/>
          <w:sz w:val="28"/>
          <w:szCs w:val="28"/>
        </w:rPr>
        <w:t>Утверждаются расходы 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по сохранению и использованию объектов культурного наследия.  </w:t>
      </w:r>
    </w:p>
    <w:p w:rsidR="001F0213" w:rsidRPr="00645ACC" w:rsidRDefault="001F0213" w:rsidP="001F02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933,6 тыс. рублей (- 1,4 %) планируется сократить расходы по разделу </w:t>
      </w:r>
      <w:r w:rsidRPr="00B13FE9">
        <w:rPr>
          <w:rFonts w:ascii="Times New Roman" w:hAnsi="Times New Roman"/>
          <w:b/>
          <w:sz w:val="28"/>
          <w:szCs w:val="28"/>
        </w:rPr>
        <w:t xml:space="preserve">05 </w:t>
      </w:r>
      <w:r w:rsidRPr="00645ACC">
        <w:rPr>
          <w:rFonts w:ascii="Times New Roman" w:hAnsi="Times New Roman"/>
          <w:b/>
          <w:sz w:val="28"/>
          <w:szCs w:val="28"/>
        </w:rPr>
        <w:t>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том числе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747,7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сокращаются расходы на мероприятия по благоустройству дворовых </w:t>
      </w:r>
      <w:proofErr w:type="gramStart"/>
      <w:r>
        <w:rPr>
          <w:rFonts w:ascii="Times New Roman" w:hAnsi="Times New Roman"/>
          <w:sz w:val="28"/>
          <w:szCs w:val="28"/>
        </w:rPr>
        <w:t>и  общественных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территорий (</w:t>
      </w:r>
      <w:r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>
        <w:rPr>
          <w:rFonts w:ascii="Times New Roman" w:hAnsi="Times New Roman"/>
          <w:sz w:val="28"/>
          <w:szCs w:val="28"/>
        </w:rPr>
        <w:t xml:space="preserve">, на 185,9 тыс. рублей </w:t>
      </w:r>
      <w:r w:rsidRPr="00645ACC">
        <w:rPr>
          <w:rFonts w:ascii="Times New Roman" w:hAnsi="Times New Roman"/>
          <w:sz w:val="28"/>
          <w:szCs w:val="28"/>
        </w:rPr>
        <w:t>на содержание Управления ЖКХ, транспорта и строительства (подраздел 0505 «Другие вопросы в области жилищно-к</w:t>
      </w:r>
      <w:r>
        <w:rPr>
          <w:rFonts w:ascii="Times New Roman" w:hAnsi="Times New Roman"/>
          <w:sz w:val="28"/>
          <w:szCs w:val="28"/>
        </w:rPr>
        <w:t>оммунального хозяйства</w:t>
      </w:r>
      <w:r w:rsidR="00C65572">
        <w:rPr>
          <w:rFonts w:ascii="Times New Roman" w:hAnsi="Times New Roman"/>
          <w:sz w:val="28"/>
          <w:szCs w:val="28"/>
        </w:rPr>
        <w:t xml:space="preserve">»). </w:t>
      </w: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на 2022 год </w:t>
      </w:r>
      <w:r w:rsidRPr="006B0A19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32477,7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6,4 % и составит 538206,4 тыс. рублей</w:t>
      </w:r>
      <w:r w:rsidRPr="006B0A19">
        <w:rPr>
          <w:rFonts w:ascii="Times New Roman" w:hAnsi="Times New Roman"/>
          <w:sz w:val="28"/>
          <w:szCs w:val="28"/>
        </w:rPr>
        <w:t>.</w:t>
      </w:r>
    </w:p>
    <w:p w:rsidR="00C65572" w:rsidRPr="00C65572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3562,1 тыс. рублей увеличатся расходы по подразделу </w:t>
      </w:r>
      <w:r w:rsidRPr="006B0A19">
        <w:rPr>
          <w:rFonts w:ascii="Times New Roman" w:hAnsi="Times New Roman"/>
          <w:i/>
          <w:sz w:val="28"/>
          <w:szCs w:val="28"/>
        </w:rPr>
        <w:t>0701 «</w:t>
      </w:r>
      <w:r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Pr="006B0A19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65572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C65572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</w:t>
      </w:r>
      <w:r w:rsidR="00C65572" w:rsidRPr="00C65572">
        <w:rPr>
          <w:rFonts w:ascii="Times New Roman" w:hAnsi="Times New Roman"/>
          <w:sz w:val="28"/>
          <w:szCs w:val="28"/>
          <w:lang w:eastAsia="ru-RU"/>
        </w:rPr>
        <w:t>).</w:t>
      </w: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увеличатся на 28915,6 тыс. рублей (субсидии бюджетным учреждениям на обеспечение общеобразовательного процесса в муниципальных общеобразовательных организациях</w:t>
      </w:r>
      <w:r w:rsidR="00C17465">
        <w:rPr>
          <w:rFonts w:ascii="Times New Roman" w:hAnsi="Times New Roman"/>
          <w:sz w:val="28"/>
          <w:szCs w:val="28"/>
        </w:rPr>
        <w:t xml:space="preserve"> – на 13387,6 тыс. рублей, на проведение мероприятий по комплексной безопасности в дошкольных организациях утверждаются в объеме 15528,0 тыс. рублей).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7465" w:rsidRDefault="00C17465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71E" w:rsidRPr="00C65572" w:rsidRDefault="000519C5" w:rsidP="00BB171E">
      <w:pPr>
        <w:pStyle w:val="ConsPlusNormal"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 xml:space="preserve">Проектом решения предлагается </w:t>
      </w:r>
      <w:r w:rsidR="002F0AF7" w:rsidRPr="000519C5">
        <w:rPr>
          <w:rFonts w:ascii="Times New Roman" w:hAnsi="Times New Roman"/>
          <w:color w:val="000000"/>
          <w:sz w:val="28"/>
          <w:szCs w:val="28"/>
        </w:rPr>
        <w:t xml:space="preserve">увеличить </w:t>
      </w:r>
      <w:r w:rsidR="00C17465" w:rsidRPr="000519C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условно- утверждаемых расходов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>районного бюджета в 2022 году на 4607,0 тыс</w:t>
      </w:r>
      <w:r w:rsidR="00C17465" w:rsidRPr="000519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 xml:space="preserve">рублей. Предлагаемый к утверждению объем </w:t>
      </w:r>
      <w:r w:rsidRPr="000519C5">
        <w:rPr>
          <w:rFonts w:ascii="Times New Roman" w:hAnsi="Times New Roman"/>
          <w:color w:val="000000"/>
          <w:sz w:val="28"/>
          <w:szCs w:val="28"/>
        </w:rPr>
        <w:t xml:space="preserve">составит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>2</w:t>
      </w:r>
      <w:r w:rsidR="002F0AF7" w:rsidRPr="000519C5">
        <w:rPr>
          <w:rFonts w:ascii="Times New Roman" w:hAnsi="Times New Roman"/>
          <w:color w:val="000000"/>
          <w:sz w:val="28"/>
          <w:szCs w:val="28"/>
        </w:rPr>
        <w:t>5483,5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2F0AF7" w:rsidRPr="000519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>рублей</w:t>
      </w:r>
      <w:r w:rsidRPr="000519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19C5">
        <w:rPr>
          <w:rFonts w:ascii="Times New Roman" w:hAnsi="Times New Roman" w:cs="Times New Roman"/>
          <w:sz w:val="28"/>
          <w:szCs w:val="28"/>
        </w:rPr>
        <w:t xml:space="preserve">Размер объема условно утверждаемых расходов бюджета на 2022 год соответствует требованиям пункта 3 статьи 184.1 Бюджетного кодекса </w:t>
      </w:r>
      <w:r w:rsidRPr="00C65572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BB171E" w:rsidRPr="00C65572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2 пункта 7 решения от 11 декабря 2019 г. № 276 «О районном бюджете на 2020 год и плановый период 2021и 2022 годов». </w:t>
      </w:r>
    </w:p>
    <w:p w:rsidR="00C65572" w:rsidRDefault="00C65572" w:rsidP="00A32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E1" w:rsidRDefault="00A326E1" w:rsidP="00A326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в плановом периоде 2021 и 2022 годов. В 2021 году общий объем средств, направляемый на реализацию муниципальных программ, уменьшится на </w:t>
      </w:r>
      <w:r w:rsidR="00EC3C20">
        <w:rPr>
          <w:rFonts w:ascii="Times New Roman" w:hAnsi="Times New Roman"/>
          <w:sz w:val="28"/>
          <w:szCs w:val="28"/>
        </w:rPr>
        <w:t xml:space="preserve">74350,3 </w:t>
      </w:r>
      <w:r>
        <w:rPr>
          <w:rFonts w:ascii="Times New Roman" w:hAnsi="Times New Roman"/>
          <w:sz w:val="28"/>
          <w:szCs w:val="28"/>
        </w:rPr>
        <w:t xml:space="preserve">тыс. рублей и составит </w:t>
      </w:r>
      <w:r w:rsidR="00EC3C20">
        <w:rPr>
          <w:rFonts w:ascii="Times New Roman" w:hAnsi="Times New Roman"/>
          <w:sz w:val="28"/>
          <w:szCs w:val="28"/>
        </w:rPr>
        <w:t>901238,0</w:t>
      </w:r>
      <w:r>
        <w:rPr>
          <w:rFonts w:ascii="Times New Roman" w:hAnsi="Times New Roman"/>
          <w:sz w:val="28"/>
          <w:szCs w:val="28"/>
        </w:rPr>
        <w:t xml:space="preserve"> тыс. рублей, в 2022 году увеличится на 35270,8 тыс. рублей и составит 868114,1 тыс. рублей.  </w:t>
      </w:r>
    </w:p>
    <w:p w:rsidR="00DB216A" w:rsidRPr="00645ACC" w:rsidRDefault="0068365C" w:rsidP="00C65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922577" w:rsidRPr="00645ACC">
        <w:rPr>
          <w:rFonts w:ascii="Times New Roman" w:hAnsi="Times New Roman"/>
          <w:sz w:val="28"/>
          <w:szCs w:val="28"/>
        </w:rPr>
        <w:t xml:space="preserve">     </w:t>
      </w: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>о района от 11.12.2019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B5CFB">
        <w:rPr>
          <w:rFonts w:ascii="Times New Roman" w:hAnsi="Times New Roman"/>
          <w:sz w:val="28"/>
          <w:szCs w:val="28"/>
        </w:rPr>
        <w:t xml:space="preserve"> 276 «О районном бюджете на 2020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B5CFB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B5CFB">
        <w:rPr>
          <w:rFonts w:ascii="Times New Roman" w:hAnsi="Times New Roman"/>
          <w:sz w:val="28"/>
          <w:szCs w:val="28"/>
        </w:rPr>
        <w:t>я от 11.12.2019 года № 276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C6557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r w:rsidR="00F80C21" w:rsidRPr="00645ACC">
        <w:rPr>
          <w:rFonts w:ascii="Times New Roman" w:hAnsi="Times New Roman"/>
          <w:sz w:val="28"/>
          <w:szCs w:val="28"/>
        </w:rPr>
        <w:t xml:space="preserve"> </w:t>
      </w:r>
      <w:r w:rsidR="00C65572">
        <w:rPr>
          <w:rFonts w:ascii="Times New Roman" w:hAnsi="Times New Roman"/>
          <w:sz w:val="28"/>
          <w:szCs w:val="28"/>
        </w:rPr>
        <w:t>О.Е Нестерова</w:t>
      </w: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57CF"/>
    <w:rsid w:val="00070481"/>
    <w:rsid w:val="00081DE5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6001"/>
    <w:rsid w:val="0014364A"/>
    <w:rsid w:val="00145362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C090E"/>
    <w:rsid w:val="001C1325"/>
    <w:rsid w:val="001C6900"/>
    <w:rsid w:val="001C713E"/>
    <w:rsid w:val="001C7D78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4C9E"/>
    <w:rsid w:val="002A7EF1"/>
    <w:rsid w:val="002B1D10"/>
    <w:rsid w:val="002B2F03"/>
    <w:rsid w:val="002B593C"/>
    <w:rsid w:val="002B6A0D"/>
    <w:rsid w:val="002C15AA"/>
    <w:rsid w:val="002C2A7B"/>
    <w:rsid w:val="002C3FE9"/>
    <w:rsid w:val="002D070D"/>
    <w:rsid w:val="002D3EB3"/>
    <w:rsid w:val="002E09E7"/>
    <w:rsid w:val="002E112E"/>
    <w:rsid w:val="002E1AD1"/>
    <w:rsid w:val="002E1C5E"/>
    <w:rsid w:val="002E582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47E2"/>
    <w:rsid w:val="003D4329"/>
    <w:rsid w:val="003E0B4B"/>
    <w:rsid w:val="003E5582"/>
    <w:rsid w:val="003E6A2D"/>
    <w:rsid w:val="003E6C78"/>
    <w:rsid w:val="003F1070"/>
    <w:rsid w:val="003F14A4"/>
    <w:rsid w:val="003F1E68"/>
    <w:rsid w:val="003F3852"/>
    <w:rsid w:val="003F59B5"/>
    <w:rsid w:val="003F6E51"/>
    <w:rsid w:val="0040019A"/>
    <w:rsid w:val="00403051"/>
    <w:rsid w:val="004040B5"/>
    <w:rsid w:val="00404D76"/>
    <w:rsid w:val="00405648"/>
    <w:rsid w:val="00406A1F"/>
    <w:rsid w:val="0043084B"/>
    <w:rsid w:val="004313B7"/>
    <w:rsid w:val="004318F7"/>
    <w:rsid w:val="00440691"/>
    <w:rsid w:val="00445B90"/>
    <w:rsid w:val="00455798"/>
    <w:rsid w:val="004575DD"/>
    <w:rsid w:val="004720AC"/>
    <w:rsid w:val="004720B9"/>
    <w:rsid w:val="00473BCE"/>
    <w:rsid w:val="00474B0E"/>
    <w:rsid w:val="004772BF"/>
    <w:rsid w:val="00482B15"/>
    <w:rsid w:val="004837E0"/>
    <w:rsid w:val="00486336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4853"/>
    <w:rsid w:val="0057012C"/>
    <w:rsid w:val="00570C93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3E1F"/>
    <w:rsid w:val="00626129"/>
    <w:rsid w:val="00630304"/>
    <w:rsid w:val="00636046"/>
    <w:rsid w:val="00637F3E"/>
    <w:rsid w:val="006405E5"/>
    <w:rsid w:val="00642B77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63E0"/>
    <w:rsid w:val="0068365C"/>
    <w:rsid w:val="00686B37"/>
    <w:rsid w:val="00687B92"/>
    <w:rsid w:val="00687FC9"/>
    <w:rsid w:val="00690AF1"/>
    <w:rsid w:val="00692249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94B61"/>
    <w:rsid w:val="008B0D12"/>
    <w:rsid w:val="008B1188"/>
    <w:rsid w:val="008B33DB"/>
    <w:rsid w:val="008B75CB"/>
    <w:rsid w:val="008C064B"/>
    <w:rsid w:val="008C1970"/>
    <w:rsid w:val="008C6A54"/>
    <w:rsid w:val="008E3080"/>
    <w:rsid w:val="008E6D0C"/>
    <w:rsid w:val="008F0E02"/>
    <w:rsid w:val="008F0F76"/>
    <w:rsid w:val="008F2939"/>
    <w:rsid w:val="00902ACE"/>
    <w:rsid w:val="00910BDC"/>
    <w:rsid w:val="00913E74"/>
    <w:rsid w:val="009156C1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906A1"/>
    <w:rsid w:val="00994070"/>
    <w:rsid w:val="0099627E"/>
    <w:rsid w:val="00996834"/>
    <w:rsid w:val="009A1C9B"/>
    <w:rsid w:val="009A681D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F1878"/>
    <w:rsid w:val="009F41EA"/>
    <w:rsid w:val="009F4397"/>
    <w:rsid w:val="009F52E0"/>
    <w:rsid w:val="009F6C09"/>
    <w:rsid w:val="009F70F7"/>
    <w:rsid w:val="00A02E8B"/>
    <w:rsid w:val="00A03A29"/>
    <w:rsid w:val="00A06EDD"/>
    <w:rsid w:val="00A16971"/>
    <w:rsid w:val="00A2019F"/>
    <w:rsid w:val="00A2032B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2426"/>
    <w:rsid w:val="00A66E93"/>
    <w:rsid w:val="00A71ABB"/>
    <w:rsid w:val="00A864F4"/>
    <w:rsid w:val="00A91D79"/>
    <w:rsid w:val="00A94706"/>
    <w:rsid w:val="00A95C2C"/>
    <w:rsid w:val="00AA0374"/>
    <w:rsid w:val="00AA4C1C"/>
    <w:rsid w:val="00AB2641"/>
    <w:rsid w:val="00AB3792"/>
    <w:rsid w:val="00AB5AED"/>
    <w:rsid w:val="00AC23D1"/>
    <w:rsid w:val="00AD58EE"/>
    <w:rsid w:val="00AD5BBA"/>
    <w:rsid w:val="00AE3491"/>
    <w:rsid w:val="00AE366E"/>
    <w:rsid w:val="00AE503E"/>
    <w:rsid w:val="00AF5D1C"/>
    <w:rsid w:val="00AF5E4D"/>
    <w:rsid w:val="00B0074E"/>
    <w:rsid w:val="00B026CD"/>
    <w:rsid w:val="00B125BD"/>
    <w:rsid w:val="00B13FE9"/>
    <w:rsid w:val="00B156F0"/>
    <w:rsid w:val="00B202C6"/>
    <w:rsid w:val="00B25BCA"/>
    <w:rsid w:val="00B326DD"/>
    <w:rsid w:val="00B40B88"/>
    <w:rsid w:val="00B4250A"/>
    <w:rsid w:val="00B5057A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4525"/>
    <w:rsid w:val="00B84B62"/>
    <w:rsid w:val="00B85D90"/>
    <w:rsid w:val="00B870D1"/>
    <w:rsid w:val="00B874E8"/>
    <w:rsid w:val="00B913EC"/>
    <w:rsid w:val="00BA0EE7"/>
    <w:rsid w:val="00BA12AD"/>
    <w:rsid w:val="00BA1EB1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756DE"/>
    <w:rsid w:val="00C75B79"/>
    <w:rsid w:val="00C75F0F"/>
    <w:rsid w:val="00C7766E"/>
    <w:rsid w:val="00C841F4"/>
    <w:rsid w:val="00C84538"/>
    <w:rsid w:val="00C879AA"/>
    <w:rsid w:val="00C93E49"/>
    <w:rsid w:val="00C97094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518E0"/>
    <w:rsid w:val="00D564AF"/>
    <w:rsid w:val="00D6253A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309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22471"/>
    <w:rsid w:val="00E254D8"/>
    <w:rsid w:val="00E25F05"/>
    <w:rsid w:val="00E278A6"/>
    <w:rsid w:val="00E30861"/>
    <w:rsid w:val="00E33462"/>
    <w:rsid w:val="00E36E3C"/>
    <w:rsid w:val="00E4047A"/>
    <w:rsid w:val="00E42AF0"/>
    <w:rsid w:val="00E461C0"/>
    <w:rsid w:val="00E502A0"/>
    <w:rsid w:val="00E514A8"/>
    <w:rsid w:val="00E51BDC"/>
    <w:rsid w:val="00E70FCC"/>
    <w:rsid w:val="00E726BA"/>
    <w:rsid w:val="00E735E1"/>
    <w:rsid w:val="00E736CD"/>
    <w:rsid w:val="00E77F0B"/>
    <w:rsid w:val="00E812BB"/>
    <w:rsid w:val="00E81D05"/>
    <w:rsid w:val="00E84350"/>
    <w:rsid w:val="00E84408"/>
    <w:rsid w:val="00E848D2"/>
    <w:rsid w:val="00E8627D"/>
    <w:rsid w:val="00E90485"/>
    <w:rsid w:val="00EA7A2F"/>
    <w:rsid w:val="00EB6272"/>
    <w:rsid w:val="00EC0A50"/>
    <w:rsid w:val="00EC3C20"/>
    <w:rsid w:val="00EC780D"/>
    <w:rsid w:val="00ED16C0"/>
    <w:rsid w:val="00ED48B0"/>
    <w:rsid w:val="00EE272E"/>
    <w:rsid w:val="00EE5AC4"/>
    <w:rsid w:val="00EF03B0"/>
    <w:rsid w:val="00EF1285"/>
    <w:rsid w:val="00EF2B22"/>
    <w:rsid w:val="00EF3C38"/>
    <w:rsid w:val="00F00074"/>
    <w:rsid w:val="00F0111D"/>
    <w:rsid w:val="00F02454"/>
    <w:rsid w:val="00F041CE"/>
    <w:rsid w:val="00F11736"/>
    <w:rsid w:val="00F13FA2"/>
    <w:rsid w:val="00F250B9"/>
    <w:rsid w:val="00F26126"/>
    <w:rsid w:val="00F2720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A3003"/>
    <w:rsid w:val="00FA76C2"/>
    <w:rsid w:val="00FB39D2"/>
    <w:rsid w:val="00FB6F0D"/>
    <w:rsid w:val="00FC264B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F800-7C32-4F7B-8FEB-C9AB81EE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6</cp:revision>
  <cp:lastPrinted>2020-03-31T10:38:00Z</cp:lastPrinted>
  <dcterms:created xsi:type="dcterms:W3CDTF">2020-03-31T09:49:00Z</dcterms:created>
  <dcterms:modified xsi:type="dcterms:W3CDTF">2020-03-31T11:41:00Z</dcterms:modified>
</cp:coreProperties>
</file>