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FE6B9C" w:rsidP="00971A95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6735F8" wp14:editId="2B8E654E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D461B3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EE285F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85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E285F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85F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EE285F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EE285F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BB5ACE" w:rsidRPr="00EE285F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EE285F">
        <w:rPr>
          <w:rFonts w:ascii="Times New Roman" w:hAnsi="Times New Roman"/>
          <w:b/>
          <w:sz w:val="28"/>
          <w:szCs w:val="28"/>
        </w:rPr>
        <w:t xml:space="preserve"> на </w:t>
      </w:r>
      <w:r w:rsidR="00A56215">
        <w:rPr>
          <w:rFonts w:ascii="Times New Roman" w:hAnsi="Times New Roman"/>
          <w:b/>
          <w:sz w:val="28"/>
          <w:szCs w:val="28"/>
        </w:rPr>
        <w:t xml:space="preserve">01 октября </w:t>
      </w:r>
      <w:r w:rsidR="00907350">
        <w:rPr>
          <w:rFonts w:ascii="Times New Roman" w:hAnsi="Times New Roman"/>
          <w:b/>
          <w:sz w:val="28"/>
          <w:szCs w:val="28"/>
        </w:rPr>
        <w:t>2020</w:t>
      </w:r>
      <w:r w:rsidRPr="00EE28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E285F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EE285F" w:rsidRDefault="00EE285F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6215">
        <w:rPr>
          <w:rFonts w:ascii="Times New Roman" w:hAnsi="Times New Roman"/>
          <w:sz w:val="28"/>
          <w:szCs w:val="28"/>
        </w:rPr>
        <w:t>02</w:t>
      </w:r>
      <w:r w:rsidR="00F276BB" w:rsidRPr="00EE285F">
        <w:rPr>
          <w:rFonts w:ascii="Times New Roman" w:hAnsi="Times New Roman"/>
          <w:sz w:val="28"/>
          <w:szCs w:val="28"/>
        </w:rPr>
        <w:t>.</w:t>
      </w:r>
      <w:r w:rsidR="00A56215">
        <w:rPr>
          <w:rFonts w:ascii="Times New Roman" w:hAnsi="Times New Roman"/>
          <w:sz w:val="28"/>
          <w:szCs w:val="28"/>
        </w:rPr>
        <w:t>11</w:t>
      </w:r>
      <w:r w:rsidR="00F276BB" w:rsidRPr="00EE285F">
        <w:rPr>
          <w:rFonts w:ascii="Times New Roman" w:hAnsi="Times New Roman"/>
          <w:sz w:val="28"/>
          <w:szCs w:val="28"/>
        </w:rPr>
        <w:t>.</w:t>
      </w:r>
      <w:r w:rsidR="00A84D14" w:rsidRPr="00EE285F">
        <w:rPr>
          <w:rFonts w:ascii="Times New Roman" w:hAnsi="Times New Roman"/>
          <w:sz w:val="28"/>
          <w:szCs w:val="28"/>
        </w:rPr>
        <w:t>2020</w:t>
      </w:r>
      <w:r w:rsidR="009F52E0" w:rsidRPr="00EE285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05A07" w:rsidRPr="00EE285F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EE285F">
        <w:rPr>
          <w:rFonts w:ascii="Times New Roman" w:hAnsi="Times New Roman"/>
          <w:sz w:val="28"/>
          <w:szCs w:val="28"/>
        </w:rPr>
        <w:t xml:space="preserve">     </w:t>
      </w:r>
      <w:r w:rsidR="00505A07" w:rsidRPr="00EE285F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EE285F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EE285F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85F">
        <w:rPr>
          <w:rFonts w:ascii="Times New Roman" w:hAnsi="Times New Roman"/>
          <w:sz w:val="28"/>
          <w:szCs w:val="28"/>
        </w:rPr>
        <w:tab/>
      </w:r>
    </w:p>
    <w:p w:rsidR="00BA764D" w:rsidRPr="00EE285F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85F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EE285F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EE285F">
        <w:rPr>
          <w:rFonts w:ascii="Times New Roman" w:hAnsi="Times New Roman"/>
          <w:sz w:val="28"/>
          <w:szCs w:val="28"/>
        </w:rPr>
        <w:t xml:space="preserve"> </w:t>
      </w:r>
      <w:r w:rsidR="00300992" w:rsidRPr="00EE285F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EE285F">
        <w:rPr>
          <w:rFonts w:ascii="Times New Roman" w:hAnsi="Times New Roman"/>
          <w:sz w:val="28"/>
          <w:szCs w:val="28"/>
        </w:rPr>
        <w:t xml:space="preserve">та </w:t>
      </w:r>
      <w:r w:rsidR="00A63AE5" w:rsidRPr="00EE2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5ACE" w:rsidRPr="00EE285F">
        <w:rPr>
          <w:rFonts w:ascii="Times New Roman" w:hAnsi="Times New Roman"/>
          <w:sz w:val="28"/>
          <w:szCs w:val="28"/>
        </w:rPr>
        <w:t>Андомское</w:t>
      </w:r>
      <w:r w:rsidR="00300992" w:rsidRPr="00EE285F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EE285F">
        <w:rPr>
          <w:rFonts w:ascii="Times New Roman" w:hAnsi="Times New Roman"/>
          <w:sz w:val="28"/>
          <w:szCs w:val="28"/>
        </w:rPr>
        <w:t>бюджет</w:t>
      </w:r>
      <w:r w:rsidR="00C96B76" w:rsidRPr="00EE285F">
        <w:rPr>
          <w:rFonts w:ascii="Times New Roman" w:hAnsi="Times New Roman"/>
          <w:sz w:val="28"/>
          <w:szCs w:val="28"/>
        </w:rPr>
        <w:t xml:space="preserve"> поселения) на </w:t>
      </w:r>
      <w:r w:rsidR="00A56215">
        <w:rPr>
          <w:rFonts w:ascii="Times New Roman" w:hAnsi="Times New Roman"/>
          <w:sz w:val="28"/>
          <w:szCs w:val="28"/>
        </w:rPr>
        <w:t xml:space="preserve">01 октября </w:t>
      </w:r>
      <w:r w:rsidR="00907350">
        <w:rPr>
          <w:rFonts w:ascii="Times New Roman" w:hAnsi="Times New Roman"/>
          <w:sz w:val="28"/>
          <w:szCs w:val="28"/>
        </w:rPr>
        <w:t>2020</w:t>
      </w:r>
      <w:r w:rsidR="00BA764D" w:rsidRPr="00EE285F">
        <w:rPr>
          <w:rFonts w:ascii="Times New Roman" w:hAnsi="Times New Roman"/>
          <w:sz w:val="28"/>
          <w:szCs w:val="28"/>
        </w:rPr>
        <w:t xml:space="preserve"> года </w:t>
      </w:r>
      <w:r w:rsidRPr="00EE285F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EE285F">
        <w:rPr>
          <w:rFonts w:ascii="Times New Roman" w:hAnsi="Times New Roman"/>
          <w:sz w:val="28"/>
          <w:szCs w:val="28"/>
        </w:rPr>
        <w:t>.</w:t>
      </w:r>
    </w:p>
    <w:p w:rsidR="00BA764D" w:rsidRPr="00EE285F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EE285F">
        <w:rPr>
          <w:rFonts w:ascii="Times New Roman" w:hAnsi="Times New Roman"/>
          <w:sz w:val="28"/>
          <w:szCs w:val="28"/>
          <w:lang w:eastAsia="ru-RU"/>
        </w:rPr>
        <w:t>,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EE285F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EE285F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A56215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EE285F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56215">
        <w:rPr>
          <w:rFonts w:ascii="Times New Roman" w:hAnsi="Times New Roman"/>
          <w:sz w:val="28"/>
          <w:szCs w:val="28"/>
          <w:lang w:eastAsia="ru-RU"/>
        </w:rPr>
        <w:t>75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2</w:t>
      </w:r>
      <w:r w:rsidR="00A56215">
        <w:rPr>
          <w:rFonts w:ascii="Times New Roman" w:hAnsi="Times New Roman"/>
          <w:sz w:val="28"/>
          <w:szCs w:val="28"/>
          <w:lang w:eastAsia="ru-RU"/>
        </w:rPr>
        <w:t>7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A56215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EE285F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юджет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EE285F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13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168 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EE285F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14532,3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EE285F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14532,3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EE285F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EE285F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EE285F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E285F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85F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EE285F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6215" w:rsidRPr="00A56215" w:rsidRDefault="004D58F0" w:rsidP="00A56215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5621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13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D141B0" w:rsidRPr="00EE285F">
        <w:rPr>
          <w:rFonts w:ascii="Times New Roman" w:hAnsi="Times New Roman"/>
          <w:sz w:val="28"/>
          <w:szCs w:val="28"/>
          <w:lang w:eastAsia="ru-RU"/>
        </w:rPr>
        <w:t>1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68</w:t>
      </w:r>
      <w:r w:rsidR="00D141B0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EE285F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EE285F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0B3F8B">
        <w:rPr>
          <w:rFonts w:ascii="Times New Roman" w:hAnsi="Times New Roman"/>
          <w:sz w:val="28"/>
          <w:szCs w:val="28"/>
          <w:lang w:eastAsia="ru-RU"/>
        </w:rPr>
        <w:t>3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0B3F8B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</w:t>
      </w:r>
      <w:r w:rsidR="000B3F8B">
        <w:rPr>
          <w:rFonts w:ascii="Times New Roman" w:hAnsi="Times New Roman"/>
          <w:sz w:val="28"/>
          <w:szCs w:val="28"/>
          <w:lang w:eastAsia="ru-RU"/>
        </w:rPr>
        <w:t xml:space="preserve"> доходам</w:t>
      </w:r>
      <w:r w:rsidR="008E509B">
        <w:rPr>
          <w:rFonts w:ascii="Times New Roman" w:hAnsi="Times New Roman"/>
          <w:sz w:val="28"/>
          <w:szCs w:val="28"/>
          <w:lang w:eastAsia="ru-RU"/>
        </w:rPr>
        <w:t xml:space="preserve"> и по расходам </w:t>
      </w:r>
      <w:r w:rsidR="000B3F8B">
        <w:rPr>
          <w:rFonts w:ascii="Times New Roman" w:hAnsi="Times New Roman"/>
          <w:sz w:val="28"/>
          <w:szCs w:val="28"/>
          <w:lang w:eastAsia="ru-RU"/>
        </w:rPr>
        <w:t xml:space="preserve">составили 16161,1 </w:t>
      </w:r>
      <w:r w:rsidR="000B3F8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8E509B">
        <w:rPr>
          <w:rFonts w:ascii="Times New Roman" w:hAnsi="Times New Roman"/>
          <w:sz w:val="28"/>
          <w:szCs w:val="28"/>
          <w:lang w:eastAsia="ru-RU"/>
        </w:rPr>
        <w:t>1628,8</w:t>
      </w:r>
      <w:r w:rsidR="000B3F8B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B3F8B">
        <w:rPr>
          <w:rFonts w:ascii="Times New Roman" w:hAnsi="Times New Roman"/>
          <w:sz w:val="28"/>
          <w:szCs w:val="28"/>
          <w:lang w:eastAsia="ru-RU"/>
        </w:rPr>
        <w:t>11</w:t>
      </w:r>
      <w:r w:rsidR="008E509B">
        <w:rPr>
          <w:rFonts w:ascii="Times New Roman" w:hAnsi="Times New Roman"/>
          <w:sz w:val="28"/>
          <w:szCs w:val="28"/>
          <w:lang w:eastAsia="ru-RU"/>
        </w:rPr>
        <w:t>,2</w:t>
      </w:r>
      <w:r w:rsidR="000B3F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3F8B" w:rsidRPr="00B3450B">
        <w:rPr>
          <w:rFonts w:ascii="Times New Roman" w:hAnsi="Times New Roman"/>
          <w:sz w:val="28"/>
          <w:szCs w:val="28"/>
          <w:lang w:eastAsia="ru-RU"/>
        </w:rPr>
        <w:t>%)</w:t>
      </w:r>
      <w:r w:rsidR="000325B4">
        <w:rPr>
          <w:rFonts w:ascii="Times New Roman" w:hAnsi="Times New Roman"/>
          <w:sz w:val="28"/>
          <w:szCs w:val="28"/>
          <w:lang w:eastAsia="ru-RU"/>
        </w:rPr>
        <w:t xml:space="preserve">. Бюджет поселения </w:t>
      </w:r>
      <w:r w:rsidR="000F59F3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0325B4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плановые показатели бюджета поселения по доходам увеличены на </w:t>
      </w:r>
      <w:r w:rsidR="00A56215">
        <w:rPr>
          <w:rFonts w:ascii="Times New Roman" w:hAnsi="Times New Roman"/>
          <w:sz w:val="28"/>
          <w:szCs w:val="28"/>
          <w:lang w:eastAsia="ru-RU"/>
        </w:rPr>
        <w:t>1628,8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56215">
        <w:rPr>
          <w:rFonts w:ascii="Times New Roman" w:hAnsi="Times New Roman"/>
          <w:sz w:val="28"/>
          <w:szCs w:val="28"/>
          <w:lang w:eastAsia="ru-RU"/>
        </w:rPr>
        <w:t xml:space="preserve"> (+ 11,2 %)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 и составили 1</w:t>
      </w:r>
      <w:r w:rsidR="00A56215">
        <w:rPr>
          <w:rFonts w:ascii="Times New Roman" w:hAnsi="Times New Roman"/>
          <w:sz w:val="28"/>
          <w:szCs w:val="28"/>
          <w:lang w:eastAsia="ru-RU"/>
        </w:rPr>
        <w:t xml:space="preserve">6161,1 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A56215">
        <w:rPr>
          <w:rFonts w:ascii="Times New Roman" w:hAnsi="Times New Roman"/>
          <w:sz w:val="28"/>
          <w:szCs w:val="28"/>
          <w:lang w:eastAsia="ru-RU"/>
        </w:rPr>
        <w:t>п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о расходам увеличены на </w:t>
      </w:r>
      <w:r w:rsidR="00A56215">
        <w:rPr>
          <w:rFonts w:ascii="Times New Roman" w:hAnsi="Times New Roman"/>
          <w:sz w:val="28"/>
          <w:szCs w:val="28"/>
          <w:lang w:eastAsia="ru-RU"/>
        </w:rPr>
        <w:t>1667,3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56215">
        <w:rPr>
          <w:rFonts w:ascii="Times New Roman" w:hAnsi="Times New Roman"/>
          <w:sz w:val="28"/>
          <w:szCs w:val="28"/>
          <w:lang w:eastAsia="ru-RU"/>
        </w:rPr>
        <w:t xml:space="preserve"> (+11,5 %) 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>и составили 1</w:t>
      </w:r>
      <w:r w:rsidR="00A56215">
        <w:rPr>
          <w:rFonts w:ascii="Times New Roman" w:hAnsi="Times New Roman"/>
          <w:sz w:val="28"/>
          <w:szCs w:val="28"/>
          <w:lang w:eastAsia="ru-RU"/>
        </w:rPr>
        <w:t>6199,6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 xml:space="preserve"> тыс. рублей. Дефицит бюджета утвержден в объеме </w:t>
      </w:r>
      <w:r w:rsidR="00A56215">
        <w:rPr>
          <w:rFonts w:ascii="Times New Roman" w:hAnsi="Times New Roman"/>
          <w:sz w:val="28"/>
          <w:szCs w:val="28"/>
          <w:lang w:eastAsia="ru-RU"/>
        </w:rPr>
        <w:t>38,5 тыс</w:t>
      </w:r>
      <w:r w:rsidR="00A56215" w:rsidRPr="00A56215">
        <w:rPr>
          <w:rFonts w:ascii="Times New Roman" w:hAnsi="Times New Roman"/>
          <w:sz w:val="28"/>
          <w:szCs w:val="28"/>
          <w:lang w:eastAsia="ru-RU"/>
        </w:rPr>
        <w:t>. рублей.</w:t>
      </w:r>
    </w:p>
    <w:p w:rsidR="000325B4" w:rsidRDefault="000325B4" w:rsidP="000B3F8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E285F" w:rsidRDefault="000B3F8B" w:rsidP="000325B4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EE285F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E285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56215">
        <w:rPr>
          <w:rFonts w:ascii="Times New Roman" w:hAnsi="Times New Roman"/>
          <w:bCs/>
          <w:sz w:val="28"/>
          <w:szCs w:val="28"/>
          <w:lang w:eastAsia="ru-RU"/>
        </w:rPr>
        <w:t>11718,1 т</w:t>
      </w:r>
      <w:r w:rsidR="00F276BB" w:rsidRPr="00EE285F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составило </w:t>
      </w:r>
      <w:r w:rsidR="00A56215">
        <w:rPr>
          <w:rFonts w:ascii="Times New Roman" w:hAnsi="Times New Roman"/>
          <w:sz w:val="28"/>
          <w:szCs w:val="28"/>
          <w:lang w:eastAsia="ru-RU"/>
        </w:rPr>
        <w:t>72,5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EE285F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EE285F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A56215">
        <w:rPr>
          <w:rFonts w:ascii="Times New Roman" w:hAnsi="Times New Roman"/>
          <w:sz w:val="28"/>
          <w:szCs w:val="28"/>
          <w:lang w:eastAsia="ru-RU"/>
        </w:rPr>
        <w:t>9661,3</w:t>
      </w:r>
      <w:r w:rsidR="00C34C27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EE285F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EE285F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A56215">
        <w:rPr>
          <w:rFonts w:ascii="Times New Roman" w:hAnsi="Times New Roman"/>
          <w:sz w:val="28"/>
          <w:szCs w:val="28"/>
          <w:lang w:eastAsia="ru-RU"/>
        </w:rPr>
        <w:t>59,6</w:t>
      </w:r>
      <w:r w:rsidR="00E37C7C"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EE285F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EE285F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EE285F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По итогам</w:t>
      </w:r>
      <w:r w:rsidR="00A56215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215">
        <w:rPr>
          <w:rFonts w:ascii="Times New Roman" w:hAnsi="Times New Roman"/>
          <w:sz w:val="28"/>
          <w:szCs w:val="28"/>
          <w:lang w:eastAsia="ru-RU"/>
        </w:rPr>
        <w:t xml:space="preserve">9 месяцев 2020 года 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сформировался </w:t>
      </w:r>
      <w:r w:rsidR="00A84D14" w:rsidRPr="00EE285F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A56215">
        <w:rPr>
          <w:rFonts w:ascii="Times New Roman" w:hAnsi="Times New Roman"/>
          <w:sz w:val="28"/>
          <w:szCs w:val="28"/>
          <w:lang w:eastAsia="ru-RU"/>
        </w:rPr>
        <w:t>2056,8</w:t>
      </w:r>
      <w:r w:rsidR="009465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85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EE28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59EA" w:rsidRPr="00EE285F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E285F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85F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EE285F" w:rsidRDefault="00BA764D" w:rsidP="005E0D2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85F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EE285F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EE285F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EE285F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EE285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0735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A56215">
        <w:rPr>
          <w:rFonts w:ascii="Times New Roman" w:hAnsi="Times New Roman"/>
          <w:sz w:val="28"/>
          <w:szCs w:val="28"/>
          <w:lang w:eastAsia="ru-RU"/>
        </w:rPr>
        <w:t>октября 2</w:t>
      </w:r>
      <w:r w:rsidR="00907350">
        <w:rPr>
          <w:rFonts w:ascii="Times New Roman" w:hAnsi="Times New Roman"/>
          <w:sz w:val="28"/>
          <w:szCs w:val="28"/>
          <w:lang w:eastAsia="ru-RU"/>
        </w:rPr>
        <w:t>020</w:t>
      </w:r>
      <w:r w:rsidRPr="00EE285F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</w:t>
      </w:r>
      <w:r w:rsidR="00E851D0">
        <w:rPr>
          <w:rFonts w:ascii="Times New Roman" w:hAnsi="Times New Roman"/>
          <w:sz w:val="24"/>
          <w:szCs w:val="24"/>
          <w:lang w:eastAsia="ru-RU"/>
        </w:rPr>
        <w:t>о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56215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4D14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p w:rsidR="00946588" w:rsidRDefault="00946588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46588" w:rsidTr="0082482B">
        <w:tc>
          <w:tcPr>
            <w:tcW w:w="4012" w:type="dxa"/>
            <w:vMerge w:val="restart"/>
          </w:tcPr>
          <w:p w:rsidR="00946588" w:rsidRDefault="00946588" w:rsidP="0082482B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46588" w:rsidRPr="000A0426" w:rsidRDefault="00946588" w:rsidP="0082482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46588" w:rsidRDefault="00946588" w:rsidP="00A56215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5621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E2C6F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00" w:type="dxa"/>
            <w:gridSpan w:val="3"/>
          </w:tcPr>
          <w:p w:rsidR="00946588" w:rsidRPr="00926228" w:rsidRDefault="00946588" w:rsidP="00191B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91B88">
              <w:rPr>
                <w:rFonts w:ascii="Times New Roman" w:hAnsi="Times New Roman"/>
                <w:sz w:val="20"/>
                <w:szCs w:val="20"/>
              </w:rPr>
              <w:t>20</w:t>
            </w:r>
            <w:r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46588" w:rsidTr="0082482B">
        <w:trPr>
          <w:trHeight w:val="713"/>
        </w:trPr>
        <w:tc>
          <w:tcPr>
            <w:tcW w:w="4012" w:type="dxa"/>
            <w:vMerge/>
          </w:tcPr>
          <w:p w:rsidR="00946588" w:rsidRDefault="00946588" w:rsidP="0082482B"/>
        </w:tc>
        <w:tc>
          <w:tcPr>
            <w:tcW w:w="1410" w:type="dxa"/>
            <w:vMerge/>
          </w:tcPr>
          <w:p w:rsidR="00946588" w:rsidRDefault="00946588" w:rsidP="0082482B"/>
        </w:tc>
        <w:tc>
          <w:tcPr>
            <w:tcW w:w="1410" w:type="dxa"/>
          </w:tcPr>
          <w:p w:rsidR="00946588" w:rsidRPr="000A0426" w:rsidRDefault="00946588" w:rsidP="0082482B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46588" w:rsidRDefault="00946588" w:rsidP="0082482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46588" w:rsidRDefault="00946588" w:rsidP="00A56215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A5621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91B8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</w:tcPr>
          <w:p w:rsidR="00946588" w:rsidRDefault="00946588" w:rsidP="0082482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191B88" w:rsidTr="0082482B">
        <w:tc>
          <w:tcPr>
            <w:tcW w:w="4012" w:type="dxa"/>
          </w:tcPr>
          <w:p w:rsidR="00191B88" w:rsidRPr="00C46869" w:rsidRDefault="00191B88" w:rsidP="00191B8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10851,7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16161,1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A562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11718,1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72,5</w:t>
            </w:r>
          </w:p>
        </w:tc>
      </w:tr>
      <w:tr w:rsidR="00191B88" w:rsidTr="0082482B">
        <w:tc>
          <w:tcPr>
            <w:tcW w:w="4012" w:type="dxa"/>
          </w:tcPr>
          <w:p w:rsidR="00191B88" w:rsidRDefault="00191B88" w:rsidP="00191B8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A56215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</w:tr>
      <w:tr w:rsidR="00191B88" w:rsidTr="0082482B">
        <w:trPr>
          <w:trHeight w:val="152"/>
        </w:trPr>
        <w:tc>
          <w:tcPr>
            <w:tcW w:w="4012" w:type="dxa"/>
          </w:tcPr>
          <w:p w:rsidR="00191B88" w:rsidRDefault="00191B88" w:rsidP="00191B8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96,2</w:t>
            </w:r>
          </w:p>
        </w:tc>
      </w:tr>
      <w:tr w:rsidR="00191B88" w:rsidTr="0082482B">
        <w:trPr>
          <w:trHeight w:val="331"/>
        </w:trPr>
        <w:tc>
          <w:tcPr>
            <w:tcW w:w="4012" w:type="dxa"/>
          </w:tcPr>
          <w:p w:rsidR="00191B88" w:rsidRPr="002F0497" w:rsidRDefault="00191B88" w:rsidP="00191B88">
            <w:pPr>
              <w:rPr>
                <w:b/>
              </w:rPr>
            </w:pPr>
            <w:r w:rsidRPr="002F0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1726,6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46,5</w:t>
            </w:r>
          </w:p>
        </w:tc>
      </w:tr>
      <w:tr w:rsidR="00191B88" w:rsidTr="0082482B">
        <w:tc>
          <w:tcPr>
            <w:tcW w:w="4012" w:type="dxa"/>
          </w:tcPr>
          <w:p w:rsidR="00191B88" w:rsidRPr="002F0497" w:rsidRDefault="00191B88" w:rsidP="00191B88">
            <w:pPr>
              <w:rPr>
                <w:b/>
              </w:rPr>
            </w:pPr>
            <w:r w:rsidRPr="002F0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10143,4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14434,5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10914,8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2F0497" w:rsidRDefault="00E851D0" w:rsidP="00191B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75,6</w:t>
            </w:r>
          </w:p>
        </w:tc>
      </w:tr>
      <w:tr w:rsidR="00191B88" w:rsidTr="0082482B">
        <w:tc>
          <w:tcPr>
            <w:tcW w:w="4012" w:type="dxa"/>
          </w:tcPr>
          <w:p w:rsidR="00191B88" w:rsidRDefault="00191B88" w:rsidP="00191B8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4873,2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</w:tr>
      <w:tr w:rsidR="00191B88" w:rsidTr="0082482B">
        <w:tc>
          <w:tcPr>
            <w:tcW w:w="4012" w:type="dxa"/>
          </w:tcPr>
          <w:p w:rsidR="00191B88" w:rsidRPr="000A0426" w:rsidRDefault="00191B88" w:rsidP="00191B8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63,4</w:t>
            </w:r>
          </w:p>
        </w:tc>
      </w:tr>
      <w:tr w:rsidR="00191B88" w:rsidTr="0082482B">
        <w:tc>
          <w:tcPr>
            <w:tcW w:w="4012" w:type="dxa"/>
          </w:tcPr>
          <w:p w:rsidR="00191B88" w:rsidRDefault="00191B88" w:rsidP="00191B8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7179,8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7286,4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70,6</w:t>
            </w:r>
          </w:p>
        </w:tc>
      </w:tr>
      <w:tr w:rsidR="00191B88" w:rsidTr="0082482B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191B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1832,1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191B88" w:rsidTr="0082482B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191B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91B88" w:rsidTr="0082482B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191B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2819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</w:tr>
      <w:tr w:rsidR="00191B88" w:rsidTr="0082482B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191B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возврата остатков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1B88" w:rsidTr="0082482B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FF0809" w:rsidRDefault="00191B88" w:rsidP="00191B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-74,3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88" w:rsidRPr="00191B88" w:rsidRDefault="00E851D0" w:rsidP="00191B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946588" w:rsidRDefault="00946588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F2BA5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5621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146A4E">
        <w:rPr>
          <w:rFonts w:ascii="Times New Roman" w:hAnsi="Times New Roman"/>
          <w:sz w:val="28"/>
          <w:szCs w:val="28"/>
          <w:lang w:eastAsia="ru-RU"/>
        </w:rPr>
        <w:t>2020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E851D0">
        <w:rPr>
          <w:rFonts w:ascii="Times New Roman" w:hAnsi="Times New Roman"/>
          <w:sz w:val="28"/>
          <w:szCs w:val="28"/>
          <w:lang w:eastAsia="ru-RU"/>
        </w:rPr>
        <w:t xml:space="preserve">803,3 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E851D0">
        <w:rPr>
          <w:rFonts w:ascii="Times New Roman" w:hAnsi="Times New Roman"/>
          <w:sz w:val="28"/>
          <w:szCs w:val="28"/>
          <w:lang w:eastAsia="ru-RU"/>
        </w:rPr>
        <w:t>46,5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146A4E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E851D0">
        <w:rPr>
          <w:rFonts w:ascii="Times New Roman" w:hAnsi="Times New Roman"/>
          <w:sz w:val="28"/>
          <w:szCs w:val="28"/>
          <w:lang w:eastAsia="ru-RU"/>
        </w:rPr>
        <w:t>677,6</w:t>
      </w:r>
      <w:r w:rsidR="00C46869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E851D0">
        <w:rPr>
          <w:rFonts w:ascii="Times New Roman" w:hAnsi="Times New Roman"/>
          <w:sz w:val="28"/>
          <w:szCs w:val="28"/>
          <w:lang w:eastAsia="ru-RU"/>
        </w:rPr>
        <w:t>42,5</w:t>
      </w:r>
      <w:r w:rsidR="003B6A98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146A4E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поступили в объеме </w:t>
      </w:r>
      <w:r w:rsidR="00E851D0">
        <w:rPr>
          <w:rFonts w:ascii="Times New Roman" w:hAnsi="Times New Roman"/>
          <w:sz w:val="28"/>
          <w:szCs w:val="28"/>
          <w:lang w:eastAsia="ru-RU"/>
        </w:rPr>
        <w:t xml:space="preserve">125,7 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851D0">
        <w:rPr>
          <w:rFonts w:ascii="Times New Roman" w:hAnsi="Times New Roman"/>
          <w:sz w:val="28"/>
          <w:szCs w:val="28"/>
          <w:lang w:eastAsia="ru-RU"/>
        </w:rPr>
        <w:t>96,2</w:t>
      </w:r>
      <w:r w:rsidR="00EE285F"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 w:rsidR="00C77D9E" w:rsidRPr="00146A4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3486" w:rsidRPr="00146A4E" w:rsidRDefault="00543486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85F" w:rsidRPr="00F353CA" w:rsidRDefault="00EE285F" w:rsidP="00EE285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353CA">
        <w:rPr>
          <w:rFonts w:eastAsia="Calibri"/>
          <w:sz w:val="28"/>
          <w:szCs w:val="28"/>
        </w:rPr>
        <w:t>В структуре налоговых платежей основным доходным источник</w:t>
      </w:r>
      <w:r>
        <w:rPr>
          <w:rFonts w:eastAsia="Calibri"/>
          <w:sz w:val="28"/>
          <w:szCs w:val="28"/>
        </w:rPr>
        <w:t>ом</w:t>
      </w:r>
      <w:r w:rsidRPr="00F353CA">
        <w:rPr>
          <w:rFonts w:eastAsia="Calibri"/>
          <w:sz w:val="28"/>
          <w:szCs w:val="28"/>
        </w:rPr>
        <w:t xml:space="preserve"> в </w:t>
      </w:r>
      <w:r w:rsidR="00E851D0">
        <w:rPr>
          <w:rFonts w:eastAsia="Calibri"/>
          <w:sz w:val="28"/>
          <w:szCs w:val="28"/>
        </w:rPr>
        <w:t>отчетном периоде</w:t>
      </w:r>
      <w:r w:rsidR="00543486">
        <w:rPr>
          <w:rFonts w:eastAsia="Calibri"/>
          <w:sz w:val="28"/>
          <w:szCs w:val="28"/>
        </w:rPr>
        <w:t xml:space="preserve"> </w:t>
      </w:r>
      <w:r w:rsidRPr="00F353CA">
        <w:rPr>
          <w:rFonts w:eastAsia="Calibri"/>
          <w:sz w:val="28"/>
          <w:szCs w:val="28"/>
        </w:rPr>
        <w:t>явля</w:t>
      </w:r>
      <w:r>
        <w:rPr>
          <w:rFonts w:eastAsia="Calibri"/>
          <w:sz w:val="28"/>
          <w:szCs w:val="28"/>
        </w:rPr>
        <w:t>е</w:t>
      </w:r>
      <w:r w:rsidRPr="00F353CA">
        <w:rPr>
          <w:rFonts w:eastAsia="Calibri"/>
          <w:sz w:val="28"/>
          <w:szCs w:val="28"/>
        </w:rPr>
        <w:t>тся земельный налог (</w:t>
      </w:r>
      <w:r w:rsidR="00543486">
        <w:rPr>
          <w:rFonts w:eastAsia="Calibri"/>
          <w:sz w:val="28"/>
          <w:szCs w:val="28"/>
        </w:rPr>
        <w:t>70,</w:t>
      </w:r>
      <w:r w:rsidR="00E851D0">
        <w:rPr>
          <w:rFonts w:eastAsia="Calibri"/>
          <w:sz w:val="28"/>
          <w:szCs w:val="28"/>
        </w:rPr>
        <w:t>7</w:t>
      </w:r>
      <w:r w:rsidRPr="00F353CA">
        <w:rPr>
          <w:rFonts w:eastAsia="Calibri"/>
          <w:sz w:val="28"/>
          <w:szCs w:val="28"/>
        </w:rPr>
        <w:t xml:space="preserve"> %</w:t>
      </w:r>
      <w:r w:rsidRPr="00F353CA">
        <w:rPr>
          <w:sz w:val="28"/>
          <w:szCs w:val="28"/>
        </w:rPr>
        <w:t xml:space="preserve"> от общего объема поступивших налоговых доходов</w:t>
      </w:r>
      <w:r w:rsidRPr="00F353C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  <w:r w:rsidRPr="00F353CA">
        <w:rPr>
          <w:sz w:val="28"/>
          <w:szCs w:val="28"/>
        </w:rPr>
        <w:t xml:space="preserve">Поступление данного налога составило </w:t>
      </w:r>
      <w:r w:rsidR="00E851D0">
        <w:rPr>
          <w:sz w:val="28"/>
          <w:szCs w:val="28"/>
        </w:rPr>
        <w:t xml:space="preserve">479,3 </w:t>
      </w:r>
      <w:r w:rsidRPr="00F353CA">
        <w:rPr>
          <w:sz w:val="28"/>
          <w:szCs w:val="28"/>
        </w:rPr>
        <w:t xml:space="preserve">тыс. рублей, или </w:t>
      </w:r>
      <w:r w:rsidR="00E851D0">
        <w:rPr>
          <w:sz w:val="28"/>
          <w:szCs w:val="28"/>
        </w:rPr>
        <w:t>50,6</w:t>
      </w:r>
      <w:r w:rsidR="00543486"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>% от плана на 2020 год, в том числе</w:t>
      </w:r>
      <w:r w:rsidR="00543486" w:rsidRPr="00543486">
        <w:rPr>
          <w:sz w:val="28"/>
          <w:szCs w:val="28"/>
        </w:rPr>
        <w:t>:</w:t>
      </w:r>
      <w:r w:rsidRPr="00F353CA">
        <w:rPr>
          <w:sz w:val="28"/>
          <w:szCs w:val="28"/>
        </w:rPr>
        <w:t xml:space="preserve"> земельный налог с организаций</w:t>
      </w:r>
      <w:r w:rsidR="00543486">
        <w:rPr>
          <w:sz w:val="28"/>
          <w:szCs w:val="28"/>
        </w:rPr>
        <w:t xml:space="preserve"> -</w:t>
      </w:r>
      <w:r w:rsidR="00E851D0">
        <w:rPr>
          <w:sz w:val="28"/>
          <w:szCs w:val="28"/>
        </w:rPr>
        <w:t>386,6</w:t>
      </w:r>
      <w:r w:rsidRPr="00F353CA">
        <w:rPr>
          <w:sz w:val="28"/>
          <w:szCs w:val="28"/>
        </w:rPr>
        <w:t xml:space="preserve"> тыс. рублей (</w:t>
      </w:r>
      <w:r w:rsidR="00E851D0">
        <w:rPr>
          <w:sz w:val="28"/>
          <w:szCs w:val="28"/>
        </w:rPr>
        <w:t>84,8</w:t>
      </w:r>
      <w:r w:rsidRPr="00F353CA">
        <w:rPr>
          <w:sz w:val="28"/>
          <w:szCs w:val="28"/>
        </w:rPr>
        <w:t xml:space="preserve"> % от плана), с физических лиц – </w:t>
      </w:r>
      <w:r w:rsidR="00E851D0">
        <w:rPr>
          <w:sz w:val="28"/>
          <w:szCs w:val="28"/>
        </w:rPr>
        <w:t>92,7</w:t>
      </w:r>
      <w:r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>тыс. рублей (</w:t>
      </w:r>
      <w:r w:rsidR="00543486">
        <w:rPr>
          <w:sz w:val="28"/>
          <w:szCs w:val="28"/>
        </w:rPr>
        <w:t>1</w:t>
      </w:r>
      <w:r w:rsidR="00E851D0">
        <w:rPr>
          <w:sz w:val="28"/>
          <w:szCs w:val="28"/>
        </w:rPr>
        <w:t xml:space="preserve">8,8 </w:t>
      </w:r>
      <w:r w:rsidRPr="00F353CA">
        <w:rPr>
          <w:sz w:val="28"/>
          <w:szCs w:val="28"/>
        </w:rPr>
        <w:t xml:space="preserve">% от плана). По сравнению с аналогичным периодом 2019 года земельного налога поступило больше на </w:t>
      </w:r>
      <w:r w:rsidR="00E851D0">
        <w:rPr>
          <w:sz w:val="28"/>
          <w:szCs w:val="28"/>
        </w:rPr>
        <w:t xml:space="preserve">83,0 </w:t>
      </w:r>
      <w:r w:rsidRPr="00F353CA">
        <w:rPr>
          <w:sz w:val="28"/>
          <w:szCs w:val="28"/>
        </w:rPr>
        <w:t xml:space="preserve">тыс. рублей, или на </w:t>
      </w:r>
      <w:r w:rsidR="00534337">
        <w:rPr>
          <w:sz w:val="28"/>
          <w:szCs w:val="28"/>
        </w:rPr>
        <w:t>20,9</w:t>
      </w:r>
      <w:r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 xml:space="preserve">% (в 2019 году – </w:t>
      </w:r>
      <w:r w:rsidR="00534337">
        <w:rPr>
          <w:sz w:val="28"/>
          <w:szCs w:val="28"/>
        </w:rPr>
        <w:t>396,3</w:t>
      </w:r>
      <w:r w:rsidRPr="00F353CA">
        <w:rPr>
          <w:sz w:val="28"/>
          <w:szCs w:val="28"/>
        </w:rPr>
        <w:t xml:space="preserve"> тыс. рублей).  </w:t>
      </w:r>
    </w:p>
    <w:p w:rsidR="002F2BA5" w:rsidRPr="00146A4E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46A4E">
        <w:rPr>
          <w:iCs/>
          <w:sz w:val="28"/>
          <w:szCs w:val="28"/>
        </w:rPr>
        <w:lastRenderedPageBreak/>
        <w:t>Налог на имущество физических лиц составил</w:t>
      </w:r>
      <w:r w:rsidR="00923922" w:rsidRPr="00146A4E">
        <w:rPr>
          <w:iCs/>
          <w:sz w:val="28"/>
          <w:szCs w:val="28"/>
        </w:rPr>
        <w:t xml:space="preserve"> </w:t>
      </w:r>
      <w:r w:rsidR="00534337">
        <w:rPr>
          <w:iCs/>
          <w:sz w:val="28"/>
          <w:szCs w:val="28"/>
        </w:rPr>
        <w:t>40,2</w:t>
      </w:r>
      <w:r w:rsidR="00543486">
        <w:rPr>
          <w:iCs/>
          <w:sz w:val="28"/>
          <w:szCs w:val="28"/>
        </w:rPr>
        <w:t xml:space="preserve"> </w:t>
      </w:r>
      <w:r w:rsidRPr="00146A4E">
        <w:rPr>
          <w:iCs/>
          <w:sz w:val="28"/>
          <w:szCs w:val="28"/>
        </w:rPr>
        <w:t>тыс. рублей</w:t>
      </w:r>
      <w:r w:rsidR="00C46869" w:rsidRPr="00146A4E">
        <w:rPr>
          <w:iCs/>
          <w:sz w:val="28"/>
          <w:szCs w:val="28"/>
        </w:rPr>
        <w:t xml:space="preserve">, или </w:t>
      </w:r>
      <w:r w:rsidR="00534337">
        <w:rPr>
          <w:iCs/>
          <w:sz w:val="28"/>
          <w:szCs w:val="28"/>
        </w:rPr>
        <w:t>10,9</w:t>
      </w:r>
      <w:r w:rsidR="00C46869" w:rsidRPr="00146A4E">
        <w:rPr>
          <w:iCs/>
          <w:sz w:val="28"/>
          <w:szCs w:val="28"/>
        </w:rPr>
        <w:t xml:space="preserve"> % от плана на год</w:t>
      </w:r>
      <w:r w:rsidR="00146A4E" w:rsidRPr="00146A4E">
        <w:rPr>
          <w:iCs/>
          <w:sz w:val="28"/>
          <w:szCs w:val="28"/>
        </w:rPr>
        <w:t xml:space="preserve">, что больше на </w:t>
      </w:r>
      <w:r w:rsidR="00534337">
        <w:rPr>
          <w:iCs/>
          <w:sz w:val="28"/>
          <w:szCs w:val="28"/>
        </w:rPr>
        <w:t>8,9</w:t>
      </w:r>
      <w:r w:rsidR="00146A4E" w:rsidRPr="00146A4E">
        <w:rPr>
          <w:iCs/>
          <w:sz w:val="28"/>
          <w:szCs w:val="28"/>
        </w:rPr>
        <w:t xml:space="preserve"> тыс. рублей, </w:t>
      </w:r>
      <w:r w:rsidR="00543486">
        <w:rPr>
          <w:iCs/>
          <w:sz w:val="28"/>
          <w:szCs w:val="28"/>
        </w:rPr>
        <w:t xml:space="preserve">или </w:t>
      </w:r>
      <w:r w:rsidR="00534337">
        <w:rPr>
          <w:iCs/>
          <w:sz w:val="28"/>
          <w:szCs w:val="28"/>
        </w:rPr>
        <w:t>на 28,4 %</w:t>
      </w:r>
      <w:r w:rsidR="00543486">
        <w:rPr>
          <w:iCs/>
          <w:sz w:val="28"/>
          <w:szCs w:val="28"/>
        </w:rPr>
        <w:t xml:space="preserve"> </w:t>
      </w:r>
      <w:r w:rsidR="00146A4E" w:rsidRPr="00146A4E">
        <w:rPr>
          <w:iCs/>
          <w:sz w:val="28"/>
          <w:szCs w:val="28"/>
        </w:rPr>
        <w:t xml:space="preserve">чем </w:t>
      </w:r>
      <w:r w:rsidR="00534337">
        <w:rPr>
          <w:iCs/>
          <w:sz w:val="28"/>
          <w:szCs w:val="28"/>
        </w:rPr>
        <w:t>за 9 месяцев</w:t>
      </w:r>
      <w:r w:rsidR="00B169E8" w:rsidRPr="00146A4E">
        <w:rPr>
          <w:iCs/>
          <w:sz w:val="28"/>
          <w:szCs w:val="28"/>
        </w:rPr>
        <w:t xml:space="preserve"> </w:t>
      </w:r>
      <w:r w:rsidR="00A84D14" w:rsidRPr="00146A4E">
        <w:rPr>
          <w:iCs/>
          <w:sz w:val="28"/>
          <w:szCs w:val="28"/>
        </w:rPr>
        <w:t>2019</w:t>
      </w:r>
      <w:r w:rsidR="00B169E8" w:rsidRPr="00146A4E">
        <w:rPr>
          <w:iCs/>
          <w:sz w:val="28"/>
          <w:szCs w:val="28"/>
        </w:rPr>
        <w:t xml:space="preserve"> год</w:t>
      </w:r>
      <w:r w:rsidR="00146A4E" w:rsidRPr="00146A4E">
        <w:rPr>
          <w:iCs/>
          <w:sz w:val="28"/>
          <w:szCs w:val="28"/>
        </w:rPr>
        <w:t>а</w:t>
      </w:r>
      <w:r w:rsidR="00146A4E">
        <w:rPr>
          <w:iCs/>
          <w:sz w:val="28"/>
          <w:szCs w:val="28"/>
        </w:rPr>
        <w:t xml:space="preserve"> (2019 год – </w:t>
      </w:r>
      <w:r w:rsidR="00534337">
        <w:rPr>
          <w:iCs/>
          <w:sz w:val="28"/>
          <w:szCs w:val="28"/>
        </w:rPr>
        <w:t>31,3</w:t>
      </w:r>
      <w:r w:rsidR="00146A4E">
        <w:rPr>
          <w:iCs/>
          <w:sz w:val="28"/>
          <w:szCs w:val="28"/>
        </w:rPr>
        <w:t xml:space="preserve"> тыс. рублей).</w:t>
      </w:r>
      <w:r w:rsidR="00146A4E" w:rsidRPr="00146A4E">
        <w:rPr>
          <w:iCs/>
          <w:sz w:val="28"/>
          <w:szCs w:val="28"/>
        </w:rPr>
        <w:t xml:space="preserve"> </w:t>
      </w:r>
      <w:r w:rsidR="00B169E8" w:rsidRPr="00146A4E">
        <w:rPr>
          <w:iCs/>
          <w:sz w:val="28"/>
          <w:szCs w:val="28"/>
        </w:rPr>
        <w:t xml:space="preserve"> </w:t>
      </w:r>
    </w:p>
    <w:p w:rsidR="00C264F1" w:rsidRPr="00146A4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iCs/>
          <w:sz w:val="28"/>
          <w:szCs w:val="28"/>
        </w:rPr>
        <w:t>Налог на доходы физических лиц</w:t>
      </w:r>
      <w:r w:rsidRPr="00146A4E">
        <w:rPr>
          <w:rFonts w:eastAsia="Calibri"/>
          <w:sz w:val="28"/>
          <w:szCs w:val="28"/>
        </w:rPr>
        <w:t xml:space="preserve"> поступил в объеме </w:t>
      </w:r>
      <w:r w:rsidR="00534337">
        <w:rPr>
          <w:rFonts w:eastAsia="Calibri"/>
          <w:sz w:val="28"/>
          <w:szCs w:val="28"/>
        </w:rPr>
        <w:t xml:space="preserve">142,8 </w:t>
      </w:r>
      <w:r w:rsidR="00146A4E" w:rsidRPr="00146A4E">
        <w:rPr>
          <w:rFonts w:eastAsia="Calibri"/>
          <w:sz w:val="28"/>
          <w:szCs w:val="28"/>
        </w:rPr>
        <w:t>тыс</w:t>
      </w:r>
      <w:r w:rsidRPr="00146A4E">
        <w:rPr>
          <w:rFonts w:eastAsia="Calibri"/>
          <w:sz w:val="28"/>
          <w:szCs w:val="28"/>
        </w:rPr>
        <w:t>. рублей (</w:t>
      </w:r>
      <w:r w:rsidR="00534337">
        <w:rPr>
          <w:rFonts w:eastAsia="Calibri"/>
          <w:sz w:val="28"/>
          <w:szCs w:val="28"/>
        </w:rPr>
        <w:t>53,7</w:t>
      </w:r>
      <w:r w:rsidR="002F2BA5" w:rsidRPr="00146A4E">
        <w:rPr>
          <w:rFonts w:eastAsia="Calibri"/>
          <w:sz w:val="28"/>
          <w:szCs w:val="28"/>
        </w:rPr>
        <w:t xml:space="preserve"> %</w:t>
      </w:r>
      <w:r w:rsidRPr="00146A4E">
        <w:rPr>
          <w:rFonts w:eastAsia="Calibri"/>
          <w:sz w:val="28"/>
          <w:szCs w:val="28"/>
        </w:rPr>
        <w:t xml:space="preserve"> от плана на </w:t>
      </w:r>
      <w:r w:rsidR="00A84D14" w:rsidRPr="00146A4E">
        <w:rPr>
          <w:rFonts w:eastAsia="Calibri"/>
          <w:sz w:val="28"/>
          <w:szCs w:val="28"/>
        </w:rPr>
        <w:t>2020</w:t>
      </w:r>
      <w:r w:rsidR="003F4937" w:rsidRPr="00146A4E">
        <w:rPr>
          <w:rFonts w:eastAsia="Calibri"/>
          <w:sz w:val="28"/>
          <w:szCs w:val="28"/>
        </w:rPr>
        <w:t xml:space="preserve"> год), что </w:t>
      </w:r>
      <w:r w:rsidR="00146A4E" w:rsidRPr="00146A4E">
        <w:rPr>
          <w:rFonts w:eastAsia="Calibri"/>
          <w:sz w:val="28"/>
          <w:szCs w:val="28"/>
        </w:rPr>
        <w:t>меньше</w:t>
      </w:r>
      <w:r w:rsidR="00923922" w:rsidRPr="00146A4E">
        <w:rPr>
          <w:rFonts w:eastAsia="Calibri"/>
          <w:sz w:val="28"/>
          <w:szCs w:val="28"/>
        </w:rPr>
        <w:t xml:space="preserve"> </w:t>
      </w:r>
      <w:r w:rsidR="003F4937" w:rsidRPr="00146A4E">
        <w:rPr>
          <w:rFonts w:eastAsia="Calibri"/>
          <w:sz w:val="28"/>
          <w:szCs w:val="28"/>
        </w:rPr>
        <w:t xml:space="preserve">на </w:t>
      </w:r>
      <w:r w:rsidR="00534337">
        <w:rPr>
          <w:rFonts w:eastAsia="Calibri"/>
          <w:sz w:val="28"/>
          <w:szCs w:val="28"/>
        </w:rPr>
        <w:t>6,6</w:t>
      </w:r>
      <w:r w:rsidR="00543486">
        <w:rPr>
          <w:rFonts w:eastAsia="Calibri"/>
          <w:sz w:val="28"/>
          <w:szCs w:val="28"/>
        </w:rPr>
        <w:t xml:space="preserve"> </w:t>
      </w:r>
      <w:r w:rsidR="003F4937" w:rsidRPr="00146A4E">
        <w:rPr>
          <w:rFonts w:eastAsia="Calibri"/>
          <w:sz w:val="28"/>
          <w:szCs w:val="28"/>
        </w:rPr>
        <w:t>тыс. рублей</w:t>
      </w:r>
      <w:r w:rsidR="00534337">
        <w:rPr>
          <w:rFonts w:eastAsia="Calibri"/>
          <w:sz w:val="28"/>
          <w:szCs w:val="28"/>
        </w:rPr>
        <w:t xml:space="preserve"> (- 4,4 %)</w:t>
      </w:r>
      <w:r w:rsidR="003F4937" w:rsidRPr="00146A4E">
        <w:rPr>
          <w:rFonts w:eastAsia="Calibri"/>
          <w:sz w:val="28"/>
          <w:szCs w:val="28"/>
        </w:rPr>
        <w:t xml:space="preserve"> чем </w:t>
      </w:r>
      <w:r w:rsidR="00534337">
        <w:rPr>
          <w:rFonts w:eastAsia="Calibri"/>
          <w:sz w:val="28"/>
          <w:szCs w:val="28"/>
        </w:rPr>
        <w:t>за 9 месяцев 2</w:t>
      </w:r>
      <w:r w:rsidR="00A84D14" w:rsidRPr="00146A4E">
        <w:rPr>
          <w:rFonts w:eastAsia="Calibri"/>
          <w:sz w:val="28"/>
          <w:szCs w:val="28"/>
        </w:rPr>
        <w:t>019</w:t>
      </w:r>
      <w:r w:rsidR="00CA77E7" w:rsidRPr="00146A4E">
        <w:rPr>
          <w:rFonts w:eastAsia="Calibri"/>
          <w:sz w:val="28"/>
          <w:szCs w:val="28"/>
        </w:rPr>
        <w:t xml:space="preserve"> года</w:t>
      </w:r>
      <w:r w:rsidR="00923922" w:rsidRPr="00146A4E">
        <w:rPr>
          <w:rFonts w:eastAsia="Calibri"/>
          <w:sz w:val="28"/>
          <w:szCs w:val="28"/>
        </w:rPr>
        <w:t xml:space="preserve"> (</w:t>
      </w:r>
      <w:r w:rsidR="00A84D14" w:rsidRPr="00146A4E">
        <w:rPr>
          <w:rFonts w:eastAsia="Calibri"/>
          <w:sz w:val="28"/>
          <w:szCs w:val="28"/>
        </w:rPr>
        <w:t>2019</w:t>
      </w:r>
      <w:r w:rsidR="00923922" w:rsidRPr="00146A4E">
        <w:rPr>
          <w:rFonts w:eastAsia="Calibri"/>
          <w:sz w:val="28"/>
          <w:szCs w:val="28"/>
        </w:rPr>
        <w:t xml:space="preserve"> год </w:t>
      </w:r>
      <w:r w:rsidR="00146A4E" w:rsidRPr="00146A4E">
        <w:rPr>
          <w:rFonts w:eastAsia="Calibri"/>
          <w:sz w:val="28"/>
          <w:szCs w:val="28"/>
        </w:rPr>
        <w:t>–</w:t>
      </w:r>
      <w:r w:rsidR="00C264F1" w:rsidRPr="00146A4E">
        <w:rPr>
          <w:rFonts w:eastAsia="Calibri"/>
          <w:sz w:val="28"/>
          <w:szCs w:val="28"/>
        </w:rPr>
        <w:t xml:space="preserve"> </w:t>
      </w:r>
      <w:r w:rsidR="00534337">
        <w:rPr>
          <w:rFonts w:eastAsia="Calibri"/>
          <w:sz w:val="28"/>
          <w:szCs w:val="28"/>
        </w:rPr>
        <w:t>149,4 т</w:t>
      </w:r>
      <w:r w:rsidR="00923922" w:rsidRPr="00146A4E">
        <w:rPr>
          <w:rFonts w:eastAsia="Calibri"/>
          <w:sz w:val="28"/>
          <w:szCs w:val="28"/>
        </w:rPr>
        <w:t xml:space="preserve">ыс. рублей). </w:t>
      </w:r>
    </w:p>
    <w:p w:rsidR="00C76C04" w:rsidRDefault="00C264F1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sz w:val="28"/>
          <w:szCs w:val="28"/>
        </w:rPr>
        <w:t>Единый сельскохозяйственный налог в бюджет поселения</w:t>
      </w:r>
      <w:r w:rsidR="00146A4E" w:rsidRPr="00146A4E">
        <w:rPr>
          <w:rFonts w:eastAsia="Calibri"/>
          <w:sz w:val="28"/>
          <w:szCs w:val="28"/>
        </w:rPr>
        <w:t xml:space="preserve"> поступил</w:t>
      </w:r>
      <w:r w:rsidR="00C76C04">
        <w:rPr>
          <w:rFonts w:eastAsia="Calibri"/>
          <w:sz w:val="28"/>
          <w:szCs w:val="28"/>
        </w:rPr>
        <w:t xml:space="preserve"> в объеме 7,8 тыс</w:t>
      </w:r>
      <w:r w:rsidR="00146A4E" w:rsidRPr="00146A4E">
        <w:rPr>
          <w:rFonts w:eastAsia="Calibri"/>
          <w:sz w:val="28"/>
          <w:szCs w:val="28"/>
        </w:rPr>
        <w:t>.</w:t>
      </w:r>
      <w:r w:rsidR="00C76C04">
        <w:rPr>
          <w:rFonts w:eastAsia="Calibri"/>
          <w:sz w:val="28"/>
          <w:szCs w:val="28"/>
        </w:rPr>
        <w:t xml:space="preserve"> рублей, что в 3,9 раза больше первоначального плана</w:t>
      </w:r>
      <w:r w:rsidR="00534337">
        <w:rPr>
          <w:rFonts w:eastAsia="Calibri"/>
          <w:sz w:val="28"/>
          <w:szCs w:val="28"/>
        </w:rPr>
        <w:t xml:space="preserve"> и на 10,4 тыс. рублей меньше, чем в аналогичном периоде 2019 года</w:t>
      </w:r>
      <w:r w:rsidR="00C76C04">
        <w:rPr>
          <w:rFonts w:eastAsia="Calibri"/>
          <w:sz w:val="28"/>
          <w:szCs w:val="28"/>
        </w:rPr>
        <w:t>.</w:t>
      </w:r>
    </w:p>
    <w:p w:rsidR="007761AE" w:rsidRPr="00146A4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146A4E">
        <w:rPr>
          <w:rFonts w:eastAsia="Calibri"/>
          <w:iCs/>
          <w:sz w:val="28"/>
          <w:szCs w:val="28"/>
        </w:rPr>
        <w:t xml:space="preserve">Доходы от поступления государственной пошлины составили в бюджете поселения </w:t>
      </w:r>
      <w:r w:rsidR="00534337">
        <w:rPr>
          <w:rFonts w:eastAsia="Calibri"/>
          <w:iCs/>
          <w:sz w:val="28"/>
          <w:szCs w:val="28"/>
        </w:rPr>
        <w:t>7,5</w:t>
      </w:r>
      <w:r w:rsidR="00C76C04">
        <w:rPr>
          <w:rFonts w:eastAsia="Calibri"/>
          <w:iCs/>
          <w:sz w:val="28"/>
          <w:szCs w:val="28"/>
        </w:rPr>
        <w:t xml:space="preserve"> </w:t>
      </w:r>
      <w:r w:rsidRPr="00146A4E">
        <w:rPr>
          <w:rFonts w:eastAsia="Calibri"/>
          <w:iCs/>
          <w:sz w:val="28"/>
          <w:szCs w:val="28"/>
        </w:rPr>
        <w:t>тыс. рублей (</w:t>
      </w:r>
      <w:r w:rsidR="00534337">
        <w:rPr>
          <w:rFonts w:eastAsia="Calibri"/>
          <w:iCs/>
          <w:sz w:val="28"/>
          <w:szCs w:val="28"/>
        </w:rPr>
        <w:t>75,0</w:t>
      </w:r>
      <w:r w:rsidRPr="00146A4E">
        <w:rPr>
          <w:rFonts w:eastAsia="Calibri"/>
          <w:iCs/>
          <w:sz w:val="28"/>
          <w:szCs w:val="28"/>
        </w:rPr>
        <w:t xml:space="preserve"> % от плана на </w:t>
      </w:r>
      <w:r w:rsidR="00A84D14" w:rsidRPr="00146A4E">
        <w:rPr>
          <w:rFonts w:eastAsia="Calibri"/>
          <w:iCs/>
          <w:sz w:val="28"/>
          <w:szCs w:val="28"/>
        </w:rPr>
        <w:t>2020</w:t>
      </w:r>
      <w:r w:rsidR="00534337">
        <w:rPr>
          <w:rFonts w:eastAsia="Calibri"/>
          <w:iCs/>
          <w:sz w:val="28"/>
          <w:szCs w:val="28"/>
        </w:rPr>
        <w:t xml:space="preserve"> год), что меньше, чем за 9 месяцев 2019 года на 7,6 тыс. рублей (- 50,3 %). </w:t>
      </w:r>
      <w:r w:rsidR="00B169E8" w:rsidRPr="00146A4E">
        <w:rPr>
          <w:rFonts w:eastAsia="Calibri"/>
          <w:iCs/>
          <w:sz w:val="28"/>
          <w:szCs w:val="28"/>
        </w:rPr>
        <w:t xml:space="preserve"> </w:t>
      </w:r>
    </w:p>
    <w:p w:rsidR="00EE285F" w:rsidRPr="00DD2CB9" w:rsidRDefault="00C76C04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Всего н</w:t>
      </w:r>
      <w:r w:rsidR="00405BD7" w:rsidRPr="00DD2CB9">
        <w:rPr>
          <w:rFonts w:eastAsia="Calibri"/>
          <w:iCs/>
          <w:sz w:val="28"/>
          <w:szCs w:val="28"/>
        </w:rPr>
        <w:t xml:space="preserve">алоговых доходов </w:t>
      </w:r>
      <w:r w:rsidR="00DE5476">
        <w:rPr>
          <w:rFonts w:eastAsia="Calibri"/>
          <w:iCs/>
          <w:sz w:val="28"/>
          <w:szCs w:val="28"/>
        </w:rPr>
        <w:t xml:space="preserve">за отчетный период </w:t>
      </w:r>
      <w:r w:rsidR="00405BD7" w:rsidRPr="00DD2CB9">
        <w:rPr>
          <w:rFonts w:eastAsia="Calibri"/>
          <w:iCs/>
          <w:sz w:val="28"/>
          <w:szCs w:val="28"/>
        </w:rPr>
        <w:t xml:space="preserve">поступило больше на </w:t>
      </w:r>
      <w:r w:rsidR="00DE5476">
        <w:rPr>
          <w:rFonts w:eastAsia="Calibri"/>
          <w:iCs/>
          <w:sz w:val="28"/>
          <w:szCs w:val="28"/>
        </w:rPr>
        <w:t>67,3</w:t>
      </w:r>
      <w:r w:rsidR="00405BD7" w:rsidRPr="00DD2CB9">
        <w:rPr>
          <w:rFonts w:eastAsia="Calibri"/>
          <w:iCs/>
          <w:sz w:val="28"/>
          <w:szCs w:val="28"/>
        </w:rPr>
        <w:t xml:space="preserve"> тыс. рублей,</w:t>
      </w:r>
      <w:r w:rsidR="00DD2CB9">
        <w:rPr>
          <w:rFonts w:eastAsia="Calibri"/>
          <w:iCs/>
          <w:sz w:val="28"/>
          <w:szCs w:val="28"/>
        </w:rPr>
        <w:t xml:space="preserve"> или на </w:t>
      </w:r>
      <w:r w:rsidR="00DE5476">
        <w:rPr>
          <w:rFonts w:eastAsia="Calibri"/>
          <w:iCs/>
          <w:sz w:val="28"/>
          <w:szCs w:val="28"/>
        </w:rPr>
        <w:t>11,0</w:t>
      </w:r>
      <w:r w:rsidR="00DD2CB9">
        <w:rPr>
          <w:rFonts w:eastAsia="Calibri"/>
          <w:iCs/>
          <w:sz w:val="28"/>
          <w:szCs w:val="28"/>
        </w:rPr>
        <w:t xml:space="preserve"> %,</w:t>
      </w:r>
      <w:r w:rsidR="00DE5476">
        <w:rPr>
          <w:rFonts w:eastAsia="Calibri"/>
          <w:iCs/>
          <w:sz w:val="28"/>
          <w:szCs w:val="28"/>
        </w:rPr>
        <w:t xml:space="preserve"> чем за 9 месяцев </w:t>
      </w:r>
      <w:r w:rsidR="00405BD7" w:rsidRPr="00DD2CB9">
        <w:rPr>
          <w:rFonts w:eastAsia="Calibri"/>
          <w:iCs/>
          <w:sz w:val="28"/>
          <w:szCs w:val="28"/>
        </w:rPr>
        <w:t xml:space="preserve">2019 года. </w:t>
      </w:r>
    </w:p>
    <w:p w:rsidR="00405BD7" w:rsidRDefault="00405BD7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</w:p>
    <w:p w:rsidR="00C76C04" w:rsidRPr="00D47AFE" w:rsidRDefault="00C264F1" w:rsidP="00C76C0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DE5476">
        <w:rPr>
          <w:rFonts w:ascii="Times New Roman" w:eastAsia="Calibri" w:hAnsi="Times New Roman"/>
          <w:iCs/>
          <w:sz w:val="28"/>
          <w:szCs w:val="28"/>
        </w:rPr>
        <w:t>125,7</w:t>
      </w:r>
      <w:r w:rsidR="00C76C0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46A4E"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C76C04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C76C04">
        <w:rPr>
          <w:rFonts w:ascii="Times New Roman" w:hAnsi="Times New Roman"/>
          <w:iCs/>
          <w:sz w:val="28"/>
          <w:szCs w:val="28"/>
        </w:rPr>
        <w:t>в том числе</w:t>
      </w:r>
      <w:r w:rsidR="00C76C04" w:rsidRPr="00D47AFE">
        <w:rPr>
          <w:rFonts w:ascii="Times New Roman" w:hAnsi="Times New Roman"/>
          <w:iCs/>
          <w:sz w:val="28"/>
          <w:szCs w:val="28"/>
        </w:rPr>
        <w:t>:</w:t>
      </w:r>
    </w:p>
    <w:p w:rsidR="00C76C04" w:rsidRDefault="00C76C04" w:rsidP="00C76C04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E584C">
        <w:rPr>
          <w:rFonts w:ascii="Times New Roman" w:eastAsia="Calibri" w:hAnsi="Times New Roman"/>
          <w:iCs/>
          <w:sz w:val="28"/>
          <w:szCs w:val="28"/>
        </w:rPr>
        <w:t>доход</w:t>
      </w:r>
      <w:r>
        <w:rPr>
          <w:rFonts w:ascii="Times New Roman" w:eastAsia="Calibri" w:hAnsi="Times New Roman"/>
          <w:iCs/>
          <w:sz w:val="28"/>
          <w:szCs w:val="28"/>
        </w:rPr>
        <w:t>ы</w:t>
      </w:r>
      <w:r w:rsidRPr="005E584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46A4E">
        <w:rPr>
          <w:rFonts w:ascii="Times New Roman" w:eastAsia="Calibri" w:hAnsi="Times New Roman"/>
          <w:iCs/>
          <w:sz w:val="28"/>
          <w:szCs w:val="28"/>
        </w:rPr>
        <w:t>от оказания платных услуг</w:t>
      </w:r>
      <w:r w:rsidRPr="005E584C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DE5476">
        <w:rPr>
          <w:rFonts w:ascii="Times New Roman" w:eastAsia="Calibri" w:hAnsi="Times New Roman"/>
          <w:iCs/>
          <w:sz w:val="28"/>
          <w:szCs w:val="28"/>
        </w:rPr>
        <w:t>91,5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DE5476">
        <w:rPr>
          <w:rFonts w:ascii="Times New Roman" w:eastAsia="Calibri" w:hAnsi="Times New Roman"/>
          <w:iCs/>
          <w:sz w:val="28"/>
          <w:szCs w:val="28"/>
        </w:rPr>
        <w:t>91,5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</w:t>
      </w:r>
      <w:r w:rsidRPr="00D47AFE">
        <w:rPr>
          <w:rFonts w:ascii="Times New Roman" w:eastAsia="Calibri" w:hAnsi="Times New Roman"/>
          <w:iCs/>
          <w:sz w:val="28"/>
          <w:szCs w:val="28"/>
        </w:rPr>
        <w:t>;</w:t>
      </w:r>
    </w:p>
    <w:p w:rsidR="00C76C04" w:rsidRDefault="00C76C04" w:rsidP="00C76C04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доходы от продажи материальных активов – 34,2 тыс. рублей (111,8 % от плана).</w:t>
      </w:r>
    </w:p>
    <w:p w:rsidR="00146A4E" w:rsidRPr="00DD2CB9" w:rsidRDefault="00405BD7" w:rsidP="00C264F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D2CB9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2019 года </w:t>
      </w:r>
      <w:r w:rsidR="00C76C04">
        <w:rPr>
          <w:rFonts w:ascii="Times New Roman" w:eastAsia="Calibri" w:hAnsi="Times New Roman"/>
          <w:sz w:val="28"/>
          <w:szCs w:val="28"/>
        </w:rPr>
        <w:t>не</w:t>
      </w:r>
      <w:r w:rsidRPr="00DD2CB9">
        <w:rPr>
          <w:rFonts w:ascii="Times New Roman" w:eastAsia="Calibri" w:hAnsi="Times New Roman"/>
          <w:sz w:val="28"/>
          <w:szCs w:val="28"/>
        </w:rPr>
        <w:t xml:space="preserve">налоговых доходов поступило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больше на </w:t>
      </w:r>
      <w:r w:rsidR="00DE5476">
        <w:rPr>
          <w:rFonts w:ascii="Times New Roman" w:eastAsia="Calibri" w:hAnsi="Times New Roman"/>
          <w:sz w:val="28"/>
          <w:szCs w:val="28"/>
        </w:rPr>
        <w:t>27,7</w:t>
      </w:r>
      <w:r w:rsidR="00C76C04">
        <w:rPr>
          <w:rFonts w:ascii="Times New Roman" w:eastAsia="Calibri" w:hAnsi="Times New Roman"/>
          <w:sz w:val="28"/>
          <w:szCs w:val="28"/>
        </w:rPr>
        <w:t xml:space="preserve"> тыс. рублей, или на </w:t>
      </w:r>
      <w:r w:rsidR="00DE5476">
        <w:rPr>
          <w:rFonts w:ascii="Times New Roman" w:eastAsia="Calibri" w:hAnsi="Times New Roman"/>
          <w:sz w:val="28"/>
          <w:szCs w:val="28"/>
        </w:rPr>
        <w:t>28,3</w:t>
      </w:r>
      <w:r w:rsidR="00C76C04">
        <w:rPr>
          <w:rFonts w:ascii="Times New Roman" w:eastAsia="Calibri" w:hAnsi="Times New Roman"/>
          <w:sz w:val="28"/>
          <w:szCs w:val="28"/>
        </w:rPr>
        <w:t xml:space="preserve"> % (2019 год </w:t>
      </w:r>
      <w:r w:rsidR="00DE5476">
        <w:rPr>
          <w:rFonts w:ascii="Times New Roman" w:eastAsia="Calibri" w:hAnsi="Times New Roman"/>
          <w:sz w:val="28"/>
          <w:szCs w:val="28"/>
        </w:rPr>
        <w:t>–</w:t>
      </w:r>
      <w:r w:rsidR="00C76C04">
        <w:rPr>
          <w:rFonts w:ascii="Times New Roman" w:eastAsia="Calibri" w:hAnsi="Times New Roman"/>
          <w:sz w:val="28"/>
          <w:szCs w:val="28"/>
        </w:rPr>
        <w:t xml:space="preserve"> </w:t>
      </w:r>
      <w:r w:rsidR="00DE5476">
        <w:rPr>
          <w:rFonts w:ascii="Times New Roman" w:eastAsia="Calibri" w:hAnsi="Times New Roman"/>
          <w:sz w:val="28"/>
          <w:szCs w:val="28"/>
        </w:rPr>
        <w:t>98,0</w:t>
      </w:r>
      <w:r w:rsidR="00C76C04">
        <w:rPr>
          <w:rFonts w:ascii="Times New Roman" w:eastAsia="Calibri" w:hAnsi="Times New Roman"/>
          <w:sz w:val="28"/>
          <w:szCs w:val="28"/>
        </w:rPr>
        <w:t xml:space="preserve"> тыс. рублей).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 </w:t>
      </w:r>
    </w:p>
    <w:p w:rsidR="00146A4E" w:rsidRPr="00146A4E" w:rsidRDefault="00146A4E" w:rsidP="00C264F1">
      <w:pPr>
        <w:spacing w:after="0"/>
        <w:jc w:val="both"/>
        <w:rPr>
          <w:rFonts w:eastAsia="Calibri"/>
          <w:sz w:val="28"/>
          <w:szCs w:val="28"/>
        </w:rPr>
      </w:pPr>
    </w:p>
    <w:p w:rsidR="00926228" w:rsidRPr="00146A4E" w:rsidRDefault="002F2BA5" w:rsidP="00146A4E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146A4E">
        <w:rPr>
          <w:rFonts w:ascii="Times New Roman" w:eastAsia="Calibri" w:hAnsi="Times New Roman"/>
          <w:iCs/>
          <w:sz w:val="28"/>
          <w:szCs w:val="28"/>
        </w:rPr>
        <w:t>Доля налоговых</w:t>
      </w:r>
      <w:r w:rsidR="00C264F1" w:rsidRPr="00146A4E">
        <w:rPr>
          <w:rFonts w:ascii="Times New Roman" w:eastAsia="Calibri" w:hAnsi="Times New Roman"/>
          <w:iCs/>
          <w:sz w:val="28"/>
          <w:szCs w:val="28"/>
        </w:rPr>
        <w:t xml:space="preserve"> и </w:t>
      </w:r>
      <w:r w:rsidR="00DD2CB9">
        <w:rPr>
          <w:rFonts w:ascii="Times New Roman" w:eastAsia="Calibri" w:hAnsi="Times New Roman"/>
          <w:iCs/>
          <w:sz w:val="28"/>
          <w:szCs w:val="28"/>
        </w:rPr>
        <w:t>не</w:t>
      </w:r>
      <w:r w:rsidR="00C264F1" w:rsidRPr="00146A4E">
        <w:rPr>
          <w:rFonts w:ascii="Times New Roman" w:eastAsia="Calibri" w:hAnsi="Times New Roman"/>
          <w:iCs/>
          <w:sz w:val="28"/>
          <w:szCs w:val="28"/>
        </w:rPr>
        <w:t>налоговых</w:t>
      </w:r>
      <w:r w:rsidRPr="00146A4E">
        <w:rPr>
          <w:rFonts w:ascii="Times New Roman" w:eastAsia="Calibri" w:hAnsi="Times New Roman"/>
          <w:iCs/>
          <w:sz w:val="28"/>
          <w:szCs w:val="28"/>
        </w:rPr>
        <w:t xml:space="preserve"> доходов в общем объёме поступлений составила </w:t>
      </w:r>
      <w:r w:rsidR="00DE5476">
        <w:rPr>
          <w:rFonts w:ascii="Times New Roman" w:eastAsia="Calibri" w:hAnsi="Times New Roman"/>
          <w:iCs/>
          <w:sz w:val="28"/>
          <w:szCs w:val="28"/>
        </w:rPr>
        <w:t xml:space="preserve">6,6 </w:t>
      </w:r>
      <w:r w:rsidR="003F4937" w:rsidRPr="00146A4E"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146A4E" w:rsidRPr="00146A4E" w:rsidRDefault="00146A4E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Pr="00405BD7" w:rsidRDefault="00926228" w:rsidP="00DD2CB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3F4937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DE5476">
        <w:rPr>
          <w:rFonts w:ascii="Times New Roman" w:hAnsi="Times New Roman"/>
          <w:bCs/>
          <w:sz w:val="28"/>
          <w:szCs w:val="28"/>
          <w:lang w:eastAsia="ru-RU"/>
        </w:rPr>
        <w:t>10914,8</w:t>
      </w:r>
      <w:r w:rsidR="006D288D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DE5476">
        <w:rPr>
          <w:rFonts w:ascii="Times New Roman" w:hAnsi="Times New Roman"/>
          <w:bCs/>
          <w:sz w:val="28"/>
          <w:szCs w:val="28"/>
          <w:lang w:eastAsia="ru-RU"/>
        </w:rPr>
        <w:t>75,6</w:t>
      </w:r>
      <w:r w:rsidR="003F4937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405BD7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405BD7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405BD7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E5476">
        <w:rPr>
          <w:rFonts w:ascii="Times New Roman" w:eastAsia="Calibri" w:hAnsi="Times New Roman"/>
          <w:iCs/>
          <w:sz w:val="28"/>
          <w:szCs w:val="28"/>
        </w:rPr>
        <w:t>5146,7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405BD7">
        <w:rPr>
          <w:rFonts w:ascii="Times New Roman" w:eastAsia="Calibri" w:hAnsi="Times New Roman"/>
          <w:iCs/>
          <w:sz w:val="28"/>
          <w:szCs w:val="28"/>
        </w:rPr>
        <w:t>(</w:t>
      </w:r>
      <w:r w:rsidR="00DE5476">
        <w:rPr>
          <w:rFonts w:ascii="Times New Roman" w:eastAsia="Calibri" w:hAnsi="Times New Roman"/>
          <w:iCs/>
          <w:sz w:val="28"/>
          <w:szCs w:val="28"/>
        </w:rPr>
        <w:t>70,6</w:t>
      </w:r>
      <w:r w:rsidR="00923922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C512B" w:rsidRPr="00405BD7" w:rsidRDefault="009C512B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281918">
        <w:rPr>
          <w:rFonts w:ascii="Times New Roman" w:eastAsia="Calibri" w:hAnsi="Times New Roman"/>
          <w:iCs/>
          <w:sz w:val="28"/>
          <w:szCs w:val="28"/>
        </w:rPr>
        <w:t>1</w:t>
      </w:r>
      <w:r w:rsidR="00DE5476">
        <w:rPr>
          <w:rFonts w:ascii="Times New Roman" w:eastAsia="Calibri" w:hAnsi="Times New Roman"/>
          <w:iCs/>
          <w:sz w:val="28"/>
          <w:szCs w:val="28"/>
        </w:rPr>
        <w:t xml:space="preserve">49,5 </w:t>
      </w:r>
      <w:r w:rsidRPr="00405BD7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DE5476">
        <w:rPr>
          <w:rFonts w:ascii="Times New Roman" w:eastAsia="Calibri" w:hAnsi="Times New Roman"/>
          <w:iCs/>
          <w:sz w:val="28"/>
          <w:szCs w:val="28"/>
        </w:rPr>
        <w:t>6</w:t>
      </w:r>
      <w:r w:rsidR="00281918">
        <w:rPr>
          <w:rFonts w:ascii="Times New Roman" w:eastAsia="Calibri" w:hAnsi="Times New Roman"/>
          <w:iCs/>
          <w:sz w:val="28"/>
          <w:szCs w:val="28"/>
        </w:rPr>
        <w:t>3,</w:t>
      </w:r>
      <w:r w:rsidR="00DE5476">
        <w:rPr>
          <w:rFonts w:ascii="Times New Roman" w:eastAsia="Calibri" w:hAnsi="Times New Roman"/>
          <w:iCs/>
          <w:sz w:val="28"/>
          <w:szCs w:val="28"/>
        </w:rPr>
        <w:t>4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>;</w:t>
      </w:r>
    </w:p>
    <w:p w:rsidR="00281918" w:rsidRPr="00DE5476" w:rsidRDefault="00405BD7" w:rsidP="0028191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DE5476">
        <w:rPr>
          <w:rFonts w:ascii="Times New Roman" w:eastAsia="Calibri" w:hAnsi="Times New Roman"/>
          <w:iCs/>
          <w:sz w:val="28"/>
          <w:szCs w:val="28"/>
        </w:rPr>
        <w:t>4053,1</w:t>
      </w:r>
      <w:r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DE5476">
        <w:rPr>
          <w:rFonts w:ascii="Times New Roman" w:eastAsia="Calibri" w:hAnsi="Times New Roman"/>
          <w:iCs/>
          <w:sz w:val="28"/>
          <w:szCs w:val="28"/>
        </w:rPr>
        <w:t>83,2</w:t>
      </w:r>
      <w:r w:rsidR="0028191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05BD7">
        <w:rPr>
          <w:rFonts w:ascii="Times New Roman" w:eastAsia="Calibri" w:hAnsi="Times New Roman"/>
          <w:iCs/>
          <w:sz w:val="28"/>
          <w:szCs w:val="28"/>
        </w:rPr>
        <w:t>% от плана)</w:t>
      </w:r>
      <w:r w:rsidR="00DE5476" w:rsidRPr="00DE5476">
        <w:rPr>
          <w:rFonts w:ascii="Times New Roman" w:eastAsia="Calibri" w:hAnsi="Times New Roman"/>
          <w:iCs/>
          <w:sz w:val="28"/>
          <w:szCs w:val="28"/>
        </w:rPr>
        <w:t>;</w:t>
      </w:r>
    </w:p>
    <w:p w:rsidR="00405BD7" w:rsidRPr="00405BD7" w:rsidRDefault="00405BD7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 xml:space="preserve">- иные межбюджетные трансферты </w:t>
      </w:r>
      <w:r w:rsidR="00DE5476">
        <w:rPr>
          <w:rFonts w:ascii="Times New Roman" w:eastAsia="Calibri" w:hAnsi="Times New Roman"/>
          <w:iCs/>
          <w:sz w:val="28"/>
          <w:szCs w:val="28"/>
        </w:rPr>
        <w:t xml:space="preserve">1392,3 </w:t>
      </w:r>
      <w:r w:rsidRPr="00405BD7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DE5476">
        <w:rPr>
          <w:rFonts w:ascii="Times New Roman" w:eastAsia="Calibri" w:hAnsi="Times New Roman"/>
          <w:iCs/>
          <w:sz w:val="28"/>
          <w:szCs w:val="28"/>
        </w:rPr>
        <w:t>76,0</w:t>
      </w:r>
      <w:r w:rsidRPr="00405BD7">
        <w:rPr>
          <w:rFonts w:ascii="Times New Roman" w:eastAsia="Calibri" w:hAnsi="Times New Roman"/>
          <w:iCs/>
          <w:sz w:val="28"/>
          <w:szCs w:val="28"/>
        </w:rPr>
        <w:t>%);</w:t>
      </w:r>
    </w:p>
    <w:p w:rsidR="00405BD7" w:rsidRDefault="005E0D23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t>-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 безвозмездные поступления от негосударственных организаций </w:t>
      </w:r>
      <w:r w:rsidR="00281918">
        <w:rPr>
          <w:rFonts w:ascii="Times New Roman" w:eastAsia="Calibri" w:hAnsi="Times New Roman"/>
          <w:iCs/>
          <w:sz w:val="28"/>
          <w:szCs w:val="28"/>
        </w:rPr>
        <w:t>40,0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281918">
        <w:rPr>
          <w:rFonts w:ascii="Times New Roman" w:eastAsia="Calibri" w:hAnsi="Times New Roman"/>
          <w:iCs/>
          <w:sz w:val="28"/>
          <w:szCs w:val="28"/>
        </w:rPr>
        <w:t xml:space="preserve">100,0 % 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от </w:t>
      </w:r>
      <w:r w:rsidR="00281918">
        <w:rPr>
          <w:rFonts w:ascii="Times New Roman" w:eastAsia="Calibri" w:hAnsi="Times New Roman"/>
          <w:iCs/>
          <w:sz w:val="28"/>
          <w:szCs w:val="28"/>
        </w:rPr>
        <w:t>плана)</w:t>
      </w:r>
      <w:r w:rsidR="00281918" w:rsidRPr="00281918">
        <w:rPr>
          <w:rFonts w:ascii="Times New Roman" w:eastAsia="Calibri" w:hAnsi="Times New Roman"/>
          <w:iCs/>
          <w:sz w:val="28"/>
          <w:szCs w:val="28"/>
        </w:rPr>
        <w:t>;</w:t>
      </w:r>
    </w:p>
    <w:p w:rsidR="00281918" w:rsidRDefault="00281918" w:rsidP="002E2B2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п</w:t>
      </w:r>
      <w:r w:rsidR="00405BD7" w:rsidRPr="00405BD7">
        <w:rPr>
          <w:rFonts w:ascii="Times New Roman" w:eastAsia="Calibri" w:hAnsi="Times New Roman"/>
          <w:iCs/>
          <w:sz w:val="28"/>
          <w:szCs w:val="28"/>
        </w:rPr>
        <w:t xml:space="preserve">рочие безвозмездные поступления </w:t>
      </w:r>
      <w:r w:rsidR="00DE5476">
        <w:rPr>
          <w:rFonts w:ascii="Times New Roman" w:eastAsia="Calibri" w:hAnsi="Times New Roman"/>
          <w:iCs/>
          <w:sz w:val="28"/>
          <w:szCs w:val="28"/>
        </w:rPr>
        <w:t>133,2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DE5476">
        <w:rPr>
          <w:rFonts w:ascii="Times New Roman" w:eastAsia="Calibri" w:hAnsi="Times New Roman"/>
          <w:iCs/>
          <w:sz w:val="28"/>
          <w:szCs w:val="28"/>
        </w:rPr>
        <w:t>79,8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плана). </w:t>
      </w:r>
    </w:p>
    <w:p w:rsidR="00DD2CB9" w:rsidRPr="00DD2CB9" w:rsidRDefault="00152DD2" w:rsidP="00DD2CB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DD2CB9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2019 года </w:t>
      </w:r>
      <w:r w:rsidR="00DD2CB9">
        <w:rPr>
          <w:rFonts w:ascii="Times New Roman" w:eastAsia="Calibri" w:hAnsi="Times New Roman"/>
          <w:sz w:val="28"/>
          <w:szCs w:val="28"/>
        </w:rPr>
        <w:t xml:space="preserve">безвозмездных поступлений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поступило больше на </w:t>
      </w:r>
      <w:r w:rsidR="00DE5476">
        <w:rPr>
          <w:rFonts w:ascii="Times New Roman" w:eastAsia="Calibri" w:hAnsi="Times New Roman"/>
          <w:sz w:val="28"/>
          <w:szCs w:val="28"/>
        </w:rPr>
        <w:t>771,4</w:t>
      </w:r>
      <w:r w:rsidR="00DD2CB9">
        <w:rPr>
          <w:rFonts w:ascii="Times New Roman" w:eastAsia="Calibri" w:hAnsi="Times New Roman"/>
          <w:sz w:val="28"/>
          <w:szCs w:val="28"/>
        </w:rPr>
        <w:t xml:space="preserve"> </w:t>
      </w:r>
      <w:r w:rsidR="00DD2CB9" w:rsidRPr="00DD2CB9">
        <w:rPr>
          <w:rFonts w:ascii="Times New Roman" w:eastAsia="Calibri" w:hAnsi="Times New Roman"/>
          <w:sz w:val="28"/>
          <w:szCs w:val="28"/>
        </w:rPr>
        <w:t xml:space="preserve">тыс. рублей, или на </w:t>
      </w:r>
      <w:r w:rsidR="00DE5476">
        <w:rPr>
          <w:rFonts w:ascii="Times New Roman" w:eastAsia="Calibri" w:hAnsi="Times New Roman"/>
          <w:sz w:val="28"/>
          <w:szCs w:val="28"/>
        </w:rPr>
        <w:t>7,6</w:t>
      </w:r>
      <w:r w:rsidR="00F11E84">
        <w:rPr>
          <w:rFonts w:ascii="Times New Roman" w:eastAsia="Calibri" w:hAnsi="Times New Roman"/>
          <w:sz w:val="28"/>
          <w:szCs w:val="28"/>
        </w:rPr>
        <w:t xml:space="preserve"> %, в первую очередь за счет увеличения поступлений субсидий на </w:t>
      </w:r>
      <w:r w:rsidR="00DE5476">
        <w:rPr>
          <w:rFonts w:ascii="Times New Roman" w:eastAsia="Calibri" w:hAnsi="Times New Roman"/>
          <w:sz w:val="28"/>
          <w:szCs w:val="28"/>
        </w:rPr>
        <w:t>2817,3</w:t>
      </w:r>
      <w:r w:rsidR="00F11E84">
        <w:rPr>
          <w:rFonts w:ascii="Times New Roman" w:eastAsia="Calibri" w:hAnsi="Times New Roman"/>
          <w:sz w:val="28"/>
          <w:szCs w:val="28"/>
        </w:rPr>
        <w:t xml:space="preserve"> тыс. рублей (+</w:t>
      </w:r>
      <w:r w:rsidR="00DE5476">
        <w:rPr>
          <w:rFonts w:ascii="Times New Roman" w:eastAsia="Calibri" w:hAnsi="Times New Roman"/>
          <w:sz w:val="28"/>
          <w:szCs w:val="28"/>
        </w:rPr>
        <w:t xml:space="preserve">228,0 </w:t>
      </w:r>
      <w:r w:rsidR="00F11E84">
        <w:rPr>
          <w:rFonts w:ascii="Times New Roman" w:eastAsia="Calibri" w:hAnsi="Times New Roman"/>
          <w:sz w:val="28"/>
          <w:szCs w:val="28"/>
        </w:rPr>
        <w:t xml:space="preserve">%). </w:t>
      </w:r>
    </w:p>
    <w:p w:rsidR="00835807" w:rsidRPr="00405BD7" w:rsidRDefault="00405BD7" w:rsidP="00DD2CB9">
      <w:pPr>
        <w:tabs>
          <w:tab w:val="left" w:pos="567"/>
          <w:tab w:val="left" w:pos="709"/>
        </w:tabs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405BD7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</w:t>
      </w:r>
      <w:r w:rsidR="002E2B26" w:rsidRPr="00405BD7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835807" w:rsidRPr="00405BD7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DE5476">
        <w:rPr>
          <w:rFonts w:ascii="Times New Roman" w:eastAsia="Calibri" w:hAnsi="Times New Roman"/>
          <w:iCs/>
          <w:sz w:val="28"/>
          <w:szCs w:val="28"/>
        </w:rPr>
        <w:t>93,4</w:t>
      </w:r>
      <w:r w:rsidR="005E0D23" w:rsidRPr="00405BD7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5807" w:rsidRPr="00405BD7">
        <w:rPr>
          <w:rFonts w:ascii="Times New Roman" w:eastAsia="Calibri" w:hAnsi="Times New Roman"/>
          <w:iCs/>
          <w:sz w:val="28"/>
          <w:szCs w:val="28"/>
        </w:rPr>
        <w:t>%.</w:t>
      </w:r>
    </w:p>
    <w:p w:rsidR="00405BD7" w:rsidRPr="00405BD7" w:rsidRDefault="00405BD7" w:rsidP="005E0D23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DB2204" w:rsidRPr="00405BD7" w:rsidRDefault="00DB2204" w:rsidP="00DB22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05BD7">
        <w:rPr>
          <w:rFonts w:ascii="Times New Roman" w:hAnsi="Times New Roman"/>
          <w:sz w:val="28"/>
          <w:szCs w:val="28"/>
        </w:rPr>
        <w:t xml:space="preserve">    </w:t>
      </w:r>
      <w:r w:rsidR="00405BD7">
        <w:rPr>
          <w:rFonts w:ascii="Times New Roman" w:hAnsi="Times New Roman"/>
          <w:sz w:val="28"/>
          <w:szCs w:val="28"/>
        </w:rPr>
        <w:t xml:space="preserve"> </w:t>
      </w:r>
      <w:r w:rsidRPr="00405BD7">
        <w:rPr>
          <w:rFonts w:ascii="Times New Roman" w:hAnsi="Times New Roman"/>
          <w:sz w:val="28"/>
          <w:szCs w:val="28"/>
        </w:rPr>
        <w:t xml:space="preserve">    Общий размер поступлений за </w:t>
      </w:r>
      <w:r w:rsidR="00A56215">
        <w:rPr>
          <w:rFonts w:ascii="Times New Roman" w:hAnsi="Times New Roman"/>
          <w:sz w:val="28"/>
          <w:szCs w:val="28"/>
        </w:rPr>
        <w:t>9 месяцев</w:t>
      </w:r>
      <w:r w:rsidRPr="00405BD7">
        <w:rPr>
          <w:rFonts w:ascii="Times New Roman" w:hAnsi="Times New Roman"/>
          <w:sz w:val="28"/>
          <w:szCs w:val="28"/>
        </w:rPr>
        <w:t xml:space="preserve"> текущего года увеличился по сравнению с аналогичным периодом прошлого года на </w:t>
      </w:r>
      <w:r w:rsidR="00DE5476">
        <w:rPr>
          <w:rFonts w:ascii="Times New Roman" w:hAnsi="Times New Roman"/>
          <w:sz w:val="28"/>
          <w:szCs w:val="28"/>
        </w:rPr>
        <w:t>866,4</w:t>
      </w:r>
      <w:r w:rsidRPr="00405BD7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E5476">
        <w:rPr>
          <w:rFonts w:ascii="Times New Roman" w:hAnsi="Times New Roman"/>
          <w:sz w:val="28"/>
          <w:szCs w:val="28"/>
        </w:rPr>
        <w:t>8,0</w:t>
      </w:r>
      <w:r w:rsidR="00DD2CB9">
        <w:rPr>
          <w:rFonts w:ascii="Times New Roman" w:hAnsi="Times New Roman"/>
          <w:sz w:val="28"/>
          <w:szCs w:val="28"/>
        </w:rPr>
        <w:t xml:space="preserve"> %</w:t>
      </w:r>
      <w:r w:rsidR="00F11E84">
        <w:rPr>
          <w:rFonts w:ascii="Times New Roman" w:hAnsi="Times New Roman"/>
          <w:sz w:val="28"/>
          <w:szCs w:val="28"/>
        </w:rPr>
        <w:t>.</w:t>
      </w:r>
      <w:r w:rsidR="00DD2CB9">
        <w:rPr>
          <w:rFonts w:ascii="Times New Roman" w:hAnsi="Times New Roman"/>
          <w:sz w:val="28"/>
          <w:szCs w:val="28"/>
        </w:rPr>
        <w:t xml:space="preserve"> </w:t>
      </w:r>
    </w:p>
    <w:p w:rsidR="00F62848" w:rsidRDefault="00F62848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2848" w:rsidRDefault="00F62848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DD2CB9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2CB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DD2CB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DD2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Pr="00DD2CB9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B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DD2CB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DD2CB9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DD2CB9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A56215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D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DD2CB9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DD2CB9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476">
        <w:rPr>
          <w:rFonts w:ascii="Times New Roman" w:hAnsi="Times New Roman"/>
          <w:sz w:val="28"/>
          <w:szCs w:val="28"/>
          <w:lang w:eastAsia="ru-RU"/>
        </w:rPr>
        <w:t>9661,3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DD2CB9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DD2CB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E5476">
        <w:rPr>
          <w:rFonts w:ascii="Times New Roman" w:hAnsi="Times New Roman"/>
          <w:sz w:val="28"/>
          <w:szCs w:val="28"/>
          <w:lang w:eastAsia="ru-RU"/>
        </w:rPr>
        <w:t xml:space="preserve">59,6 </w:t>
      </w:r>
      <w:r w:rsidR="007E3ACF" w:rsidRPr="00DD2CB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DD2C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DD2CB9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B9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90735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E5476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907350">
        <w:rPr>
          <w:rFonts w:ascii="Times New Roman" w:hAnsi="Times New Roman"/>
          <w:sz w:val="28"/>
          <w:szCs w:val="28"/>
          <w:lang w:eastAsia="ru-RU"/>
        </w:rPr>
        <w:t>2020</w:t>
      </w:r>
      <w:r w:rsidRPr="00DD2CB9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DD2CB9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907350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DE5476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907350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F11E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="00146A4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FF28C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FF28C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A84D14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F11E84">
        <w:trPr>
          <w:trHeight w:val="775"/>
        </w:trPr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FF28C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FF28C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84D1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F11E84" w:rsidRPr="0061037B" w:rsidTr="0082482B">
        <w:tc>
          <w:tcPr>
            <w:tcW w:w="4342" w:type="dxa"/>
          </w:tcPr>
          <w:p w:rsidR="00F11E84" w:rsidRPr="0061037B" w:rsidRDefault="00F11E84" w:rsidP="00F11E84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F28CF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10483,9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F28CF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16199,6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F28CF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9661,3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F28CF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59,6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2927,9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5934,6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3617,4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61,0</w:t>
            </w:r>
          </w:p>
        </w:tc>
      </w:tr>
      <w:tr w:rsidR="00FF28CF" w:rsidRPr="0061037B" w:rsidTr="0082482B">
        <w:tc>
          <w:tcPr>
            <w:tcW w:w="4342" w:type="dxa"/>
            <w:tcBorders>
              <w:bottom w:val="single" w:sz="4" w:space="0" w:color="auto"/>
            </w:tcBorders>
          </w:tcPr>
          <w:p w:rsidR="00FF28CF" w:rsidRPr="0061037B" w:rsidRDefault="00FF28CF" w:rsidP="00FF28C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604,4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1060,9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704,3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</w:tr>
      <w:tr w:rsidR="00FF28CF" w:rsidRPr="0061037B" w:rsidTr="0082482B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F28CF" w:rsidRPr="0061037B" w:rsidRDefault="00FF28CF" w:rsidP="00FF28C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2055,8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3957,0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2458,6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</w:tr>
      <w:tr w:rsidR="00FF28CF" w:rsidRPr="0061037B" w:rsidTr="0082482B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F28CF" w:rsidRPr="0061037B" w:rsidRDefault="00FF28CF" w:rsidP="00FF28C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FF28CF" w:rsidRPr="0061037B" w:rsidTr="0082482B">
        <w:tc>
          <w:tcPr>
            <w:tcW w:w="4342" w:type="dxa"/>
            <w:tcBorders>
              <w:bottom w:val="single" w:sz="4" w:space="0" w:color="auto"/>
            </w:tcBorders>
          </w:tcPr>
          <w:p w:rsidR="00FF28CF" w:rsidRPr="0061037B" w:rsidRDefault="00FF28CF" w:rsidP="00FF28C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28CF" w:rsidRPr="0061037B" w:rsidTr="0082482B">
        <w:tc>
          <w:tcPr>
            <w:tcW w:w="4342" w:type="dxa"/>
            <w:tcBorders>
              <w:top w:val="single" w:sz="4" w:space="0" w:color="auto"/>
            </w:tcBorders>
          </w:tcPr>
          <w:p w:rsidR="00FF28CF" w:rsidRPr="0061037B" w:rsidRDefault="00FF28CF" w:rsidP="00FF28CF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564,0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205,1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</w:tr>
      <w:tr w:rsidR="00F11E84" w:rsidRPr="0061037B" w:rsidTr="0082482B">
        <w:trPr>
          <w:trHeight w:val="247"/>
        </w:trPr>
        <w:tc>
          <w:tcPr>
            <w:tcW w:w="4342" w:type="dxa"/>
          </w:tcPr>
          <w:p w:rsidR="00F11E84" w:rsidRPr="0061037B" w:rsidRDefault="00F11E84" w:rsidP="00F11E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63,1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color w:val="000000"/>
                <w:sz w:val="20"/>
                <w:szCs w:val="20"/>
              </w:rPr>
              <w:t>63,1</w:t>
            </w:r>
          </w:p>
        </w:tc>
      </w:tr>
      <w:tr w:rsidR="00F11E84" w:rsidRPr="0061037B" w:rsidTr="0082482B">
        <w:trPr>
          <w:trHeight w:val="321"/>
        </w:trPr>
        <w:tc>
          <w:tcPr>
            <w:tcW w:w="4342" w:type="dxa"/>
          </w:tcPr>
          <w:p w:rsidR="00F11E84" w:rsidRPr="0061037B" w:rsidRDefault="00F11E84" w:rsidP="00F11E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751258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78,2</w:t>
            </w:r>
          </w:p>
        </w:tc>
      </w:tr>
      <w:tr w:rsidR="00F11E84" w:rsidRPr="0061037B" w:rsidTr="0082482B">
        <w:tc>
          <w:tcPr>
            <w:tcW w:w="4342" w:type="dxa"/>
          </w:tcPr>
          <w:p w:rsidR="00F11E84" w:rsidRPr="0061037B" w:rsidRDefault="00F11E84" w:rsidP="00F11E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1E84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934BBA" w:rsidRDefault="00934BBA" w:rsidP="009A54D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  <w:r w:rsidR="009A5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Сельское хозяйство и рыболовство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F11E84" w:rsidRDefault="00FF28CF" w:rsidP="00F11E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3845,7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3988,3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1931,8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48,4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542,9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1045,1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437,0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3302,8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2943,2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1494,8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</w:tr>
      <w:tr w:rsidR="00851B52" w:rsidRPr="0061037B" w:rsidTr="005271FC">
        <w:tc>
          <w:tcPr>
            <w:tcW w:w="4342" w:type="dxa"/>
          </w:tcPr>
          <w:p w:rsidR="00851B52" w:rsidRPr="0061037B" w:rsidRDefault="00851B52" w:rsidP="0085368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FF28CF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CF" w:rsidRPr="00385DE3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FF28CF" w:rsidP="00F11E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385DE3" w:rsidRDefault="00FF28CF" w:rsidP="005271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33,3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851B52" w:rsidRDefault="00FF28CF" w:rsidP="00FF28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B52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5271FC" w:rsidRPr="0061037B" w:rsidTr="0082482B">
        <w:tc>
          <w:tcPr>
            <w:tcW w:w="4342" w:type="dxa"/>
          </w:tcPr>
          <w:p w:rsidR="005271FC" w:rsidRPr="0061037B" w:rsidRDefault="005271FC" w:rsidP="005271F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2832,8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4468,5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3436,7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71FC" w:rsidRPr="00751258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76,9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2832,8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4468,5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3436,7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76,9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636,0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526,0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351,2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8CF">
              <w:rPr>
                <w:rFonts w:ascii="Times New Roman" w:hAnsi="Times New Roman"/>
                <w:b/>
                <w:sz w:val="20"/>
                <w:szCs w:val="20"/>
              </w:rPr>
              <w:t>66,8</w:t>
            </w:r>
          </w:p>
        </w:tc>
      </w:tr>
      <w:tr w:rsidR="00FF28CF" w:rsidRPr="0061037B" w:rsidTr="0082482B">
        <w:tc>
          <w:tcPr>
            <w:tcW w:w="4342" w:type="dxa"/>
          </w:tcPr>
          <w:p w:rsidR="00FF28CF" w:rsidRPr="0061037B" w:rsidRDefault="00FF28CF" w:rsidP="00FF28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624,3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344,2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8CF" w:rsidRPr="00FF28CF" w:rsidRDefault="00FF28CF" w:rsidP="00FF28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8CF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751258" w:rsidRPr="0061037B" w:rsidTr="00191FAD">
        <w:tc>
          <w:tcPr>
            <w:tcW w:w="4342" w:type="dxa"/>
          </w:tcPr>
          <w:p w:rsidR="00751258" w:rsidRPr="0061037B" w:rsidRDefault="00751258" w:rsidP="0075125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751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51258" w:rsidRPr="00853684" w:rsidTr="00191FAD">
        <w:tc>
          <w:tcPr>
            <w:tcW w:w="4342" w:type="dxa"/>
          </w:tcPr>
          <w:p w:rsidR="00751258" w:rsidRPr="0061037B" w:rsidRDefault="00751258" w:rsidP="0075125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751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FF28CF" w:rsidP="00FF28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2D51E3" w:rsidP="002D5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2D51E3" w:rsidP="002D5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751258" w:rsidRPr="0061037B" w:rsidTr="0082482B">
        <w:tc>
          <w:tcPr>
            <w:tcW w:w="4342" w:type="dxa"/>
          </w:tcPr>
          <w:p w:rsidR="00751258" w:rsidRPr="0061037B" w:rsidRDefault="00751258" w:rsidP="0075125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751258" w:rsidP="00751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FF28CF" w:rsidP="00FF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805,</w:t>
            </w:r>
            <w:r w:rsidR="00751258" w:rsidRPr="007512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2D51E3" w:rsidP="002D5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1258" w:rsidRPr="00751258" w:rsidRDefault="002D51E3" w:rsidP="002D5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2D51E3" w:rsidP="002D5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2D51E3" w:rsidP="002D5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-38,5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2D51E3" w:rsidP="002D5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2056,8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751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811E99" w:rsidRDefault="006D214A" w:rsidP="0075125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2D51E3">
        <w:rPr>
          <w:rFonts w:ascii="Times New Roman" w:hAnsi="Times New Roman"/>
          <w:sz w:val="28"/>
          <w:szCs w:val="28"/>
          <w:lang w:eastAsia="ru-RU"/>
        </w:rPr>
        <w:t xml:space="preserve">61,0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D51E3">
        <w:rPr>
          <w:rFonts w:ascii="Times New Roman" w:hAnsi="Times New Roman"/>
          <w:sz w:val="28"/>
          <w:szCs w:val="28"/>
          <w:lang w:eastAsia="ru-RU"/>
        </w:rPr>
        <w:t>3617,4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D51E3">
        <w:rPr>
          <w:rFonts w:ascii="Times New Roman" w:hAnsi="Times New Roman"/>
          <w:sz w:val="28"/>
          <w:szCs w:val="28"/>
          <w:lang w:eastAsia="ru-RU"/>
        </w:rPr>
        <w:t>123,5</w:t>
      </w:r>
      <w:r w:rsidR="0069047E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D51E3">
        <w:rPr>
          <w:rFonts w:ascii="Times New Roman" w:hAnsi="Times New Roman"/>
          <w:sz w:val="28"/>
          <w:szCs w:val="28"/>
          <w:lang w:eastAsia="ru-RU"/>
        </w:rPr>
        <w:t>689,5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48">
        <w:rPr>
          <w:rFonts w:ascii="Times New Roman" w:hAnsi="Times New Roman"/>
          <w:sz w:val="28"/>
          <w:szCs w:val="28"/>
          <w:lang w:eastAsia="ru-RU"/>
        </w:rPr>
        <w:t>т</w:t>
      </w:r>
      <w:r w:rsidR="0074201B" w:rsidRPr="00811E99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2D51E3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</w:t>
      </w:r>
      <w:r w:rsidR="002D51E3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составляет – </w:t>
      </w:r>
      <w:r w:rsidR="00751258">
        <w:rPr>
          <w:rFonts w:ascii="Times New Roman" w:hAnsi="Times New Roman"/>
          <w:sz w:val="28"/>
          <w:szCs w:val="28"/>
          <w:lang w:eastAsia="ru-RU"/>
        </w:rPr>
        <w:t>3</w:t>
      </w:r>
      <w:r w:rsidR="002D51E3">
        <w:rPr>
          <w:rFonts w:ascii="Times New Roman" w:hAnsi="Times New Roman"/>
          <w:sz w:val="28"/>
          <w:szCs w:val="28"/>
          <w:lang w:eastAsia="ru-RU"/>
        </w:rPr>
        <w:t>7,4</w:t>
      </w:r>
      <w:r w:rsidR="00851B52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%.</w:t>
      </w:r>
    </w:p>
    <w:p w:rsidR="006D214A" w:rsidRPr="00811E99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D51E3">
        <w:rPr>
          <w:rFonts w:ascii="Times New Roman" w:hAnsi="Times New Roman"/>
          <w:sz w:val="28"/>
          <w:szCs w:val="28"/>
          <w:lang w:eastAsia="ru-RU"/>
        </w:rPr>
        <w:t xml:space="preserve">За 9 месяцев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0F59F3">
        <w:rPr>
          <w:rFonts w:ascii="Times New Roman" w:hAnsi="Times New Roman"/>
          <w:sz w:val="28"/>
          <w:szCs w:val="28"/>
          <w:lang w:eastAsia="ru-RU"/>
        </w:rPr>
        <w:t>Р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751258" w:rsidRPr="00751258" w:rsidRDefault="006D214A" w:rsidP="00751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D51E3">
        <w:rPr>
          <w:rFonts w:ascii="Times New Roman" w:hAnsi="Times New Roman"/>
          <w:sz w:val="28"/>
          <w:szCs w:val="28"/>
          <w:lang w:eastAsia="ru-RU"/>
        </w:rPr>
        <w:t>63,1</w:t>
      </w:r>
      <w:r w:rsidR="00385DE3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D51E3">
        <w:rPr>
          <w:rFonts w:ascii="Times New Roman" w:hAnsi="Times New Roman"/>
          <w:sz w:val="28"/>
          <w:szCs w:val="28"/>
          <w:lang w:eastAsia="ru-RU"/>
        </w:rPr>
        <w:t xml:space="preserve">147,5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расходы увеличились на </w:t>
      </w:r>
      <w:r w:rsidR="00751258">
        <w:rPr>
          <w:rFonts w:ascii="Times New Roman" w:hAnsi="Times New Roman"/>
          <w:sz w:val="28"/>
          <w:szCs w:val="28"/>
          <w:lang w:eastAsia="ru-RU"/>
        </w:rPr>
        <w:t>1</w:t>
      </w:r>
      <w:r w:rsidR="002D51E3">
        <w:rPr>
          <w:rFonts w:ascii="Times New Roman" w:hAnsi="Times New Roman"/>
          <w:sz w:val="28"/>
          <w:szCs w:val="28"/>
          <w:lang w:eastAsia="ru-RU"/>
        </w:rPr>
        <w:t>4,5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2D51E3">
        <w:rPr>
          <w:rFonts w:ascii="Times New Roman" w:hAnsi="Times New Roman"/>
          <w:sz w:val="28"/>
          <w:szCs w:val="28"/>
          <w:lang w:eastAsia="ru-RU"/>
        </w:rPr>
        <w:t>10,9</w:t>
      </w:r>
      <w:r w:rsidR="00751258" w:rsidRPr="00751258">
        <w:rPr>
          <w:rFonts w:ascii="Times New Roman" w:hAnsi="Times New Roman"/>
          <w:sz w:val="28"/>
          <w:szCs w:val="28"/>
          <w:lang w:eastAsia="ru-RU"/>
        </w:rPr>
        <w:t xml:space="preserve"> %. 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2D51E3" w:rsidRDefault="0061037B" w:rsidP="00E66F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2D51E3" w:rsidRPr="002D51E3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2D51E3">
        <w:rPr>
          <w:rFonts w:ascii="Times New Roman" w:hAnsi="Times New Roman"/>
          <w:bCs/>
          <w:sz w:val="28"/>
          <w:szCs w:val="28"/>
          <w:lang w:eastAsia="ru-RU"/>
        </w:rPr>
        <w:t>140,8</w:t>
      </w:r>
      <w:r w:rsidR="002D51E3" w:rsidRPr="002D51E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2D51E3">
        <w:rPr>
          <w:rFonts w:ascii="Times New Roman" w:hAnsi="Times New Roman"/>
          <w:bCs/>
          <w:sz w:val="28"/>
          <w:szCs w:val="28"/>
          <w:lang w:eastAsia="ru-RU"/>
        </w:rPr>
        <w:t>78,2</w:t>
      </w:r>
      <w:r w:rsidR="002D51E3" w:rsidRPr="002D51E3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плана). </w:t>
      </w:r>
      <w:r w:rsidR="002D51E3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D51E3">
        <w:rPr>
          <w:rFonts w:ascii="Times New Roman" w:hAnsi="Times New Roman"/>
          <w:sz w:val="28"/>
          <w:szCs w:val="28"/>
          <w:lang w:eastAsia="ru-RU"/>
        </w:rPr>
        <w:t>129,8</w:t>
      </w:r>
      <w:r w:rsidR="002D51E3" w:rsidRPr="00811E9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2D51E3">
        <w:rPr>
          <w:rFonts w:ascii="Times New Roman" w:hAnsi="Times New Roman"/>
          <w:sz w:val="28"/>
          <w:szCs w:val="28"/>
          <w:lang w:eastAsia="ru-RU"/>
        </w:rPr>
        <w:t>.</w:t>
      </w:r>
    </w:p>
    <w:p w:rsidR="00E66F36" w:rsidRPr="00811E99" w:rsidRDefault="002D51E3" w:rsidP="00E66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По</w:t>
      </w:r>
      <w:r w:rsidR="006D214A" w:rsidRPr="00811E9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385DE3" w:rsidRPr="00811E99">
        <w:rPr>
          <w:rFonts w:ascii="Times New Roman" w:hAnsi="Times New Roman"/>
          <w:bCs/>
          <w:sz w:val="28"/>
          <w:szCs w:val="28"/>
          <w:lang w:eastAsia="ru-RU"/>
        </w:rPr>
        <w:t>57,3</w:t>
      </w:r>
      <w:r w:rsidR="00E66F36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исполнены.  </w:t>
      </w:r>
    </w:p>
    <w:p w:rsidR="00751258" w:rsidRPr="00751258" w:rsidRDefault="0074201B" w:rsidP="00751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0F59F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0C0E" w:rsidRPr="000F59F3">
        <w:rPr>
          <w:rFonts w:ascii="Times New Roman" w:hAnsi="Times New Roman"/>
          <w:sz w:val="28"/>
          <w:szCs w:val="28"/>
          <w:lang w:eastAsia="ru-RU"/>
        </w:rPr>
        <w:t>о </w:t>
      </w:r>
      <w:r w:rsidR="00190C0E" w:rsidRPr="000F59F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0F59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811E99">
        <w:rPr>
          <w:rFonts w:ascii="Times New Roman" w:hAnsi="Times New Roman"/>
          <w:b/>
          <w:bCs/>
          <w:sz w:val="28"/>
          <w:szCs w:val="28"/>
          <w:lang w:eastAsia="ru-RU"/>
        </w:rPr>
        <w:t>05 «Жилищно-коммунальное хозяйство»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0F59F3">
        <w:rPr>
          <w:rFonts w:ascii="Times New Roman" w:hAnsi="Times New Roman"/>
          <w:sz w:val="28"/>
          <w:szCs w:val="28"/>
          <w:lang w:eastAsia="ru-RU"/>
        </w:rPr>
        <w:t>48,4</w:t>
      </w:r>
      <w:r w:rsidR="007512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0F59F3">
        <w:rPr>
          <w:rFonts w:ascii="Times New Roman" w:hAnsi="Times New Roman"/>
          <w:sz w:val="28"/>
          <w:szCs w:val="28"/>
          <w:lang w:eastAsia="ru-RU"/>
        </w:rPr>
        <w:t>1931,8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0F59F3" w:rsidRPr="000F59F3">
        <w:rPr>
          <w:rFonts w:ascii="Times New Roman" w:hAnsi="Times New Roman"/>
          <w:sz w:val="28"/>
          <w:szCs w:val="28"/>
          <w:lang w:eastAsia="ru-RU"/>
        </w:rPr>
        <w:t xml:space="preserve"> Низкий уровень исполнения расходов обусловлен</w:t>
      </w:r>
      <w:r w:rsidR="000F59F3">
        <w:rPr>
          <w:rFonts w:ascii="Times New Roman" w:hAnsi="Times New Roman"/>
          <w:sz w:val="28"/>
          <w:szCs w:val="28"/>
          <w:lang w:eastAsia="ru-RU"/>
        </w:rPr>
        <w:t xml:space="preserve"> низким исполнением в первую очередь</w:t>
      </w:r>
      <w:r w:rsidR="0082482B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 w:rsidR="0082482B" w:rsidRPr="0082482B">
        <w:rPr>
          <w:rFonts w:ascii="Times New Roman" w:hAnsi="Times New Roman"/>
          <w:sz w:val="28"/>
          <w:szCs w:val="28"/>
          <w:lang w:eastAsia="ru-RU"/>
        </w:rPr>
        <w:t>по реализации проекта «Народный бюджет»</w:t>
      </w:r>
      <w:r w:rsidR="0082482B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2482B" w:rsidRPr="0082482B"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82482B">
        <w:rPr>
          <w:rFonts w:ascii="Times New Roman" w:hAnsi="Times New Roman"/>
          <w:sz w:val="28"/>
          <w:szCs w:val="28"/>
          <w:lang w:eastAsia="ru-RU"/>
        </w:rPr>
        <w:t>у</w:t>
      </w:r>
      <w:r w:rsidR="0082482B" w:rsidRPr="0082482B">
        <w:rPr>
          <w:rFonts w:ascii="Times New Roman" w:hAnsi="Times New Roman"/>
          <w:sz w:val="28"/>
          <w:szCs w:val="28"/>
          <w:lang w:eastAsia="ru-RU"/>
        </w:rPr>
        <w:t xml:space="preserve"> 0503 «Благоустройство»</w:t>
      </w:r>
      <w:r w:rsidR="0082482B">
        <w:rPr>
          <w:rFonts w:ascii="Times New Roman" w:hAnsi="Times New Roman"/>
          <w:sz w:val="28"/>
          <w:szCs w:val="28"/>
          <w:lang w:eastAsia="ru-RU"/>
        </w:rPr>
        <w:t xml:space="preserve"> (17,3%) </w:t>
      </w:r>
      <w:r w:rsidR="000F59F3" w:rsidRPr="000F59F3">
        <w:rPr>
          <w:rFonts w:ascii="Times New Roman" w:hAnsi="Times New Roman"/>
          <w:sz w:val="28"/>
          <w:szCs w:val="28"/>
          <w:lang w:eastAsia="ru-RU"/>
        </w:rPr>
        <w:t>и низким исполнением расходов по организации уличного освещения</w:t>
      </w:r>
      <w:r w:rsidR="0082482B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F59F3" w:rsidRPr="000F59F3"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82482B">
        <w:rPr>
          <w:rFonts w:ascii="Times New Roman" w:hAnsi="Times New Roman"/>
          <w:sz w:val="28"/>
          <w:szCs w:val="28"/>
          <w:lang w:eastAsia="ru-RU"/>
        </w:rPr>
        <w:t>у</w:t>
      </w:r>
      <w:r w:rsidR="000F59F3" w:rsidRPr="000F59F3">
        <w:rPr>
          <w:rFonts w:ascii="Times New Roman" w:hAnsi="Times New Roman"/>
          <w:sz w:val="28"/>
          <w:szCs w:val="28"/>
          <w:lang w:eastAsia="ru-RU"/>
        </w:rPr>
        <w:t xml:space="preserve"> 0502 «Коммунальное хозяйство» – </w:t>
      </w:r>
      <w:r w:rsidR="0082482B">
        <w:rPr>
          <w:rFonts w:ascii="Times New Roman" w:hAnsi="Times New Roman"/>
          <w:sz w:val="28"/>
          <w:szCs w:val="28"/>
          <w:lang w:eastAsia="ru-RU"/>
        </w:rPr>
        <w:t>41,8</w:t>
      </w:r>
      <w:r w:rsidR="000F59F3" w:rsidRPr="000F59F3">
        <w:rPr>
          <w:rFonts w:ascii="Times New Roman" w:hAnsi="Times New Roman"/>
          <w:sz w:val="28"/>
          <w:szCs w:val="28"/>
          <w:lang w:eastAsia="ru-RU"/>
        </w:rPr>
        <w:t xml:space="preserve"> % от плана на год</w:t>
      </w:r>
      <w:r w:rsidR="0082482B">
        <w:rPr>
          <w:rFonts w:ascii="Times New Roman" w:hAnsi="Times New Roman"/>
          <w:sz w:val="28"/>
          <w:szCs w:val="28"/>
          <w:lang w:eastAsia="ru-RU"/>
        </w:rPr>
        <w:t>.</w:t>
      </w:r>
      <w:r w:rsidR="00190C0E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0F59F3">
        <w:rPr>
          <w:rFonts w:ascii="Times New Roman" w:hAnsi="Times New Roman"/>
          <w:sz w:val="28"/>
          <w:szCs w:val="28"/>
          <w:lang w:eastAsia="ru-RU"/>
        </w:rPr>
        <w:t>50,2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51258">
        <w:rPr>
          <w:rFonts w:ascii="Times New Roman" w:hAnsi="Times New Roman"/>
          <w:sz w:val="28"/>
          <w:szCs w:val="28"/>
          <w:lang w:eastAsia="ru-RU"/>
        </w:rPr>
        <w:t>.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6F36" w:rsidRPr="00811E99" w:rsidRDefault="00E66F36" w:rsidP="00E66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811E99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объеме 2,0 тыс. рублей, или на 33,3 % от годового плана.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190C0E" w:rsidRPr="00811E99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По 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A56215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82482B">
        <w:rPr>
          <w:rFonts w:ascii="Times New Roman" w:hAnsi="Times New Roman"/>
          <w:sz w:val="28"/>
          <w:szCs w:val="28"/>
          <w:lang w:eastAsia="ru-RU"/>
        </w:rPr>
        <w:t>76,9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82482B">
        <w:rPr>
          <w:rFonts w:ascii="Times New Roman" w:hAnsi="Times New Roman"/>
          <w:sz w:val="28"/>
          <w:szCs w:val="28"/>
          <w:lang w:eastAsia="ru-RU"/>
        </w:rPr>
        <w:t>3436,7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82482B">
        <w:rPr>
          <w:rFonts w:ascii="Times New Roman" w:hAnsi="Times New Roman"/>
          <w:sz w:val="28"/>
          <w:szCs w:val="28"/>
          <w:lang w:eastAsia="ru-RU"/>
        </w:rPr>
        <w:t xml:space="preserve">121,3 </w:t>
      </w:r>
      <w:r w:rsidRPr="00811E99">
        <w:rPr>
          <w:rFonts w:ascii="Times New Roman" w:hAnsi="Times New Roman"/>
          <w:sz w:val="28"/>
          <w:szCs w:val="28"/>
          <w:lang w:eastAsia="ru-RU"/>
        </w:rPr>
        <w:t>%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82482B">
        <w:rPr>
          <w:rFonts w:ascii="Times New Roman" w:hAnsi="Times New Roman"/>
          <w:sz w:val="28"/>
          <w:szCs w:val="28"/>
          <w:lang w:eastAsia="ru-RU"/>
        </w:rPr>
        <w:t>величились н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82482B">
        <w:rPr>
          <w:rFonts w:ascii="Times New Roman" w:hAnsi="Times New Roman"/>
          <w:sz w:val="28"/>
          <w:szCs w:val="28"/>
          <w:lang w:eastAsia="ru-RU"/>
        </w:rPr>
        <w:t>603,9</w:t>
      </w:r>
      <w:r w:rsidR="00E66F36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0243" w:rsidRPr="00811E99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351,2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66,8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год, что на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284,8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44,8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4C0F69">
        <w:rPr>
          <w:rFonts w:ascii="Times New Roman" w:hAnsi="Times New Roman"/>
          <w:bCs/>
          <w:sz w:val="28"/>
          <w:szCs w:val="28"/>
          <w:lang w:eastAsia="ru-RU"/>
        </w:rPr>
        <w:t xml:space="preserve">меньше 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>чем в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613CF" w:rsidRPr="00811E99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811E99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A84D14" w:rsidRPr="00811E99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C7561A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E46E54" w:rsidRPr="00811E99" w:rsidRDefault="00100243" w:rsidP="00E46E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811E99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811E99">
        <w:rPr>
          <w:rFonts w:ascii="Times New Roman" w:hAnsi="Times New Roman"/>
          <w:sz w:val="28"/>
          <w:szCs w:val="28"/>
          <w:lang w:eastAsia="ru-RU"/>
        </w:rPr>
        <w:t> 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805,0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>сполнены</w:t>
      </w:r>
      <w:r w:rsidR="0082482B">
        <w:rPr>
          <w:rFonts w:ascii="Times New Roman" w:hAnsi="Times New Roman"/>
          <w:bCs/>
          <w:sz w:val="28"/>
          <w:szCs w:val="28"/>
          <w:lang w:eastAsia="ru-RU"/>
        </w:rPr>
        <w:t xml:space="preserve"> в объеме 33,9 тыс. рублей, или на 4,2 %</w:t>
      </w:r>
      <w:r w:rsidR="00E46E54" w:rsidRPr="00811E99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811E99" w:rsidRPr="00811E99" w:rsidRDefault="00811E99" w:rsidP="00E46E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11E99" w:rsidRPr="00811E99" w:rsidRDefault="00811E99" w:rsidP="00811E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82482B">
        <w:rPr>
          <w:rFonts w:ascii="Times New Roman" w:hAnsi="Times New Roman"/>
          <w:sz w:val="28"/>
          <w:szCs w:val="28"/>
          <w:lang w:eastAsia="ru-RU"/>
        </w:rPr>
        <w:t>3823,8</w:t>
      </w:r>
      <w:r w:rsidR="004C0F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2482B">
        <w:rPr>
          <w:rFonts w:ascii="Times New Roman" w:hAnsi="Times New Roman"/>
          <w:sz w:val="28"/>
          <w:szCs w:val="28"/>
          <w:lang w:eastAsia="ru-RU"/>
        </w:rPr>
        <w:t>39,6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</w:t>
      </w:r>
      <w:r w:rsidR="0082482B">
        <w:rPr>
          <w:rFonts w:ascii="Times New Roman" w:hAnsi="Times New Roman"/>
          <w:sz w:val="28"/>
          <w:szCs w:val="28"/>
          <w:lang w:eastAsia="ru-RU"/>
        </w:rPr>
        <w:t xml:space="preserve"> 1494,8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2482B">
        <w:rPr>
          <w:rFonts w:ascii="Times New Roman" w:hAnsi="Times New Roman"/>
          <w:sz w:val="28"/>
          <w:szCs w:val="28"/>
          <w:lang w:eastAsia="ru-RU"/>
        </w:rPr>
        <w:t>50,8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811E99" w:rsidRPr="00811E99" w:rsidRDefault="00811E99" w:rsidP="00E46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984" w:rsidRDefault="00F613CF" w:rsidP="00E46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A84D14" w:rsidRPr="00811E99">
        <w:rPr>
          <w:rFonts w:ascii="Times New Roman" w:hAnsi="Times New Roman"/>
          <w:sz w:val="28"/>
          <w:szCs w:val="28"/>
        </w:rPr>
        <w:t>2019</w:t>
      </w:r>
      <w:r w:rsidRPr="00811E99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82482B">
        <w:rPr>
          <w:rFonts w:ascii="Times New Roman" w:hAnsi="Times New Roman"/>
          <w:sz w:val="28"/>
          <w:szCs w:val="28"/>
        </w:rPr>
        <w:t xml:space="preserve">меньшился </w:t>
      </w:r>
      <w:r w:rsidRPr="00811E99">
        <w:rPr>
          <w:rFonts w:ascii="Times New Roman" w:hAnsi="Times New Roman"/>
          <w:sz w:val="28"/>
          <w:szCs w:val="28"/>
        </w:rPr>
        <w:t>на</w:t>
      </w:r>
      <w:r w:rsidR="00E46E54" w:rsidRPr="00811E99">
        <w:rPr>
          <w:rFonts w:ascii="Times New Roman" w:hAnsi="Times New Roman"/>
          <w:sz w:val="28"/>
          <w:szCs w:val="28"/>
        </w:rPr>
        <w:t xml:space="preserve"> </w:t>
      </w:r>
      <w:r w:rsidR="0082482B">
        <w:rPr>
          <w:rFonts w:ascii="Times New Roman" w:hAnsi="Times New Roman"/>
          <w:sz w:val="28"/>
          <w:szCs w:val="28"/>
        </w:rPr>
        <w:t>822,6</w:t>
      </w:r>
      <w:r w:rsidRPr="00811E99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2482B">
        <w:rPr>
          <w:rFonts w:ascii="Times New Roman" w:hAnsi="Times New Roman"/>
          <w:sz w:val="28"/>
          <w:szCs w:val="28"/>
        </w:rPr>
        <w:t>7,8</w:t>
      </w:r>
      <w:r w:rsidRPr="00811E99">
        <w:rPr>
          <w:rFonts w:ascii="Times New Roman" w:hAnsi="Times New Roman"/>
          <w:sz w:val="28"/>
          <w:szCs w:val="28"/>
        </w:rPr>
        <w:t xml:space="preserve"> %</w:t>
      </w:r>
      <w:r w:rsidR="00191FAD" w:rsidRPr="00811E99">
        <w:rPr>
          <w:rFonts w:ascii="Times New Roman" w:hAnsi="Times New Roman"/>
          <w:sz w:val="28"/>
          <w:szCs w:val="28"/>
        </w:rPr>
        <w:t xml:space="preserve">. </w:t>
      </w:r>
    </w:p>
    <w:p w:rsidR="00F613CF" w:rsidRPr="00811E99" w:rsidRDefault="00F613CF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</w:t>
      </w:r>
    </w:p>
    <w:p w:rsidR="00CB59EA" w:rsidRPr="00811E99" w:rsidRDefault="00CB59EA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811E99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811E9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811E99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10E6" w:rsidRPr="007C10E6" w:rsidRDefault="006D214A" w:rsidP="007C10E6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BB5ACE" w:rsidRPr="00811E99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11E99">
        <w:rPr>
          <w:rFonts w:ascii="Times New Roman" w:hAnsi="Times New Roman"/>
          <w:sz w:val="28"/>
          <w:szCs w:val="28"/>
          <w:lang w:eastAsia="ru-RU"/>
        </w:rPr>
        <w:t>13</w:t>
      </w:r>
      <w:r w:rsidRPr="00811E99">
        <w:rPr>
          <w:rFonts w:ascii="Times New Roman" w:hAnsi="Times New Roman"/>
          <w:sz w:val="28"/>
          <w:szCs w:val="28"/>
          <w:lang w:eastAsia="ru-RU"/>
        </w:rPr>
        <w:t>.12.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2019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11E99">
        <w:rPr>
          <w:rFonts w:ascii="Times New Roman" w:hAnsi="Times New Roman"/>
          <w:sz w:val="28"/>
          <w:szCs w:val="28"/>
          <w:lang w:eastAsia="ru-RU"/>
        </w:rPr>
        <w:t>168</w:t>
      </w:r>
      <w:r w:rsidR="00E46E54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BB5ACE" w:rsidRPr="00811E99">
        <w:rPr>
          <w:rFonts w:ascii="Times New Roman" w:hAnsi="Times New Roman"/>
          <w:sz w:val="28"/>
          <w:szCs w:val="28"/>
          <w:lang w:eastAsia="ru-RU"/>
        </w:rPr>
        <w:t>Андомское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2021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2022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2020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811E99" w:rsidRPr="00BF5567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бюджета поселения </w:t>
      </w:r>
      <w:r w:rsidR="007C10E6"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38,5 тыс. рублей. </w:t>
      </w:r>
      <w:r w:rsidR="007C10E6" w:rsidRPr="007C10E6">
        <w:rPr>
          <w:rFonts w:ascii="Times New Roman" w:hAnsi="Times New Roman"/>
          <w:sz w:val="28"/>
          <w:szCs w:val="28"/>
          <w:lang w:eastAsia="ru-RU"/>
        </w:rPr>
        <w:t>Размер дефицита соответствует нормам статьи 92.1 Бюджетного кодекса Российской Федерации.</w:t>
      </w:r>
    </w:p>
    <w:p w:rsidR="00002C02" w:rsidRPr="00811E99" w:rsidRDefault="006D214A" w:rsidP="00811E99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7C10E6">
        <w:rPr>
          <w:rFonts w:ascii="Times New Roman" w:hAnsi="Times New Roman"/>
          <w:sz w:val="28"/>
          <w:szCs w:val="28"/>
          <w:lang w:eastAsia="ru-RU"/>
        </w:rPr>
        <w:t>исполнения бюджета за 9 месяцев 2</w:t>
      </w:r>
      <w:r w:rsidR="00A84D14" w:rsidRPr="00811E99">
        <w:rPr>
          <w:rFonts w:ascii="Times New Roman" w:hAnsi="Times New Roman"/>
          <w:sz w:val="28"/>
          <w:szCs w:val="28"/>
          <w:lang w:eastAsia="ru-RU"/>
        </w:rPr>
        <w:t>020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811E99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191FAD" w:rsidRPr="00811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7C10E6">
        <w:rPr>
          <w:rFonts w:ascii="Times New Roman" w:hAnsi="Times New Roman"/>
          <w:sz w:val="28"/>
          <w:szCs w:val="28"/>
          <w:lang w:eastAsia="ru-RU"/>
        </w:rPr>
        <w:t>2056,8</w:t>
      </w:r>
      <w:r w:rsidR="00002C02" w:rsidRPr="00811E99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811E99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811E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B59EA" w:rsidRDefault="00CB59EA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0E6" w:rsidRDefault="007C10E6" w:rsidP="007C10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10E6" w:rsidRPr="008A2A4A" w:rsidRDefault="007C10E6" w:rsidP="007C10E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A4A">
        <w:rPr>
          <w:rFonts w:ascii="Times New Roman" w:hAnsi="Times New Roman"/>
          <w:b/>
          <w:bCs/>
          <w:sz w:val="28"/>
          <w:szCs w:val="28"/>
        </w:rPr>
        <w:t>5. Задолженность бюджета</w:t>
      </w:r>
    </w:p>
    <w:p w:rsidR="007C10E6" w:rsidRPr="008A2A4A" w:rsidRDefault="007C10E6" w:rsidP="007C10E6">
      <w:pPr>
        <w:spacing w:after="0"/>
        <w:jc w:val="both"/>
        <w:rPr>
          <w:rFonts w:ascii="Times New Roman" w:hAnsi="Times New Roman"/>
          <w:b/>
          <w:bCs/>
        </w:rPr>
      </w:pPr>
    </w:p>
    <w:p w:rsidR="007C10E6" w:rsidRDefault="007C10E6" w:rsidP="007C10E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2A4A">
        <w:rPr>
          <w:rFonts w:ascii="Times New Roman" w:hAnsi="Times New Roman"/>
          <w:bCs/>
        </w:rPr>
        <w:t xml:space="preserve">           </w:t>
      </w:r>
      <w:r w:rsidRPr="008A2A4A">
        <w:rPr>
          <w:rFonts w:ascii="Times New Roman" w:hAnsi="Times New Roman"/>
          <w:sz w:val="28"/>
          <w:szCs w:val="28"/>
        </w:rPr>
        <w:t>Состояние дебиторской задолженности на 01.10.2020 года характеризуется следующими данными:</w:t>
      </w:r>
    </w:p>
    <w:p w:rsidR="007C10E6" w:rsidRPr="008A2A4A" w:rsidRDefault="007C10E6" w:rsidP="007C10E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9"/>
        <w:gridCol w:w="2265"/>
        <w:gridCol w:w="1702"/>
        <w:gridCol w:w="1764"/>
      </w:tblGrid>
      <w:tr w:rsidR="007C10E6" w:rsidRPr="00D675B4" w:rsidTr="00307036">
        <w:trPr>
          <w:trHeight w:val="300"/>
        </w:trPr>
        <w:tc>
          <w:tcPr>
            <w:tcW w:w="3589" w:type="dxa"/>
            <w:vMerge w:val="restart"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Дебиторская задолженность на 01.01.2020 г.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Дебиторская задолженность на 01.10.2020 г.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Увеличение + Уменьшение- дебиторской задолженности на 01.10.2020</w:t>
            </w:r>
          </w:p>
        </w:tc>
      </w:tr>
      <w:tr w:rsidR="007C10E6" w:rsidRPr="00D675B4" w:rsidTr="00307036">
        <w:trPr>
          <w:trHeight w:val="923"/>
        </w:trPr>
        <w:tc>
          <w:tcPr>
            <w:tcW w:w="3589" w:type="dxa"/>
            <w:vMerge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5" w:type="dxa"/>
            <w:vMerge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4" w:type="dxa"/>
            <w:vMerge/>
            <w:shd w:val="clear" w:color="auto" w:fill="auto"/>
            <w:hideMark/>
          </w:tcPr>
          <w:p w:rsidR="007C10E6" w:rsidRPr="00D675B4" w:rsidRDefault="007C10E6" w:rsidP="00307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E4E57" w:rsidRPr="00D675B4" w:rsidTr="00307036">
        <w:trPr>
          <w:trHeight w:val="242"/>
        </w:trPr>
        <w:tc>
          <w:tcPr>
            <w:tcW w:w="3589" w:type="dxa"/>
            <w:shd w:val="clear" w:color="auto" w:fill="auto"/>
            <w:hideMark/>
          </w:tcPr>
          <w:p w:rsidR="00EE4E57" w:rsidRPr="00D675B4" w:rsidRDefault="00EE4E57" w:rsidP="00EE4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2265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8640,2</w:t>
            </w:r>
          </w:p>
        </w:tc>
        <w:tc>
          <w:tcPr>
            <w:tcW w:w="1702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20852,6</w:t>
            </w:r>
          </w:p>
        </w:tc>
        <w:tc>
          <w:tcPr>
            <w:tcW w:w="1764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12212,4</w:t>
            </w:r>
          </w:p>
        </w:tc>
      </w:tr>
      <w:tr w:rsidR="00EE4E57" w:rsidRPr="00D675B4" w:rsidTr="00307036">
        <w:trPr>
          <w:trHeight w:val="585"/>
        </w:trPr>
        <w:tc>
          <w:tcPr>
            <w:tcW w:w="3589" w:type="dxa"/>
            <w:shd w:val="clear" w:color="auto" w:fill="auto"/>
            <w:hideMark/>
          </w:tcPr>
          <w:p w:rsidR="00EE4E57" w:rsidRPr="00D675B4" w:rsidRDefault="00EE4E57" w:rsidP="00EE4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 xml:space="preserve">020600000 "Расчеты по выданным авансам" </w:t>
            </w:r>
          </w:p>
        </w:tc>
        <w:tc>
          <w:tcPr>
            <w:tcW w:w="2265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702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836,3</w:t>
            </w:r>
          </w:p>
        </w:tc>
        <w:tc>
          <w:tcPr>
            <w:tcW w:w="1764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</w:tr>
      <w:tr w:rsidR="00EE4E57" w:rsidRPr="00D675B4" w:rsidTr="00307036">
        <w:trPr>
          <w:trHeight w:val="509"/>
        </w:trPr>
        <w:tc>
          <w:tcPr>
            <w:tcW w:w="3589" w:type="dxa"/>
            <w:shd w:val="clear" w:color="auto" w:fill="auto"/>
            <w:hideMark/>
          </w:tcPr>
          <w:p w:rsidR="00EE4E57" w:rsidRPr="00D675B4" w:rsidRDefault="00EE4E57" w:rsidP="00EE4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2265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764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EE4E57" w:rsidRPr="00D675B4" w:rsidTr="00307036">
        <w:trPr>
          <w:trHeight w:val="417"/>
        </w:trPr>
        <w:tc>
          <w:tcPr>
            <w:tcW w:w="3589" w:type="dxa"/>
            <w:shd w:val="clear" w:color="auto" w:fill="auto"/>
          </w:tcPr>
          <w:p w:rsidR="00EE4E57" w:rsidRPr="00D675B4" w:rsidRDefault="00EE4E57" w:rsidP="00EE4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4E57">
              <w:rPr>
                <w:rFonts w:ascii="Times New Roman" w:hAnsi="Times New Roman"/>
                <w:b/>
                <w:bCs/>
              </w:rPr>
              <w:t>020900000 "Расчеты по ущербу и иным доходам"</w:t>
            </w:r>
          </w:p>
        </w:tc>
        <w:tc>
          <w:tcPr>
            <w:tcW w:w="2265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702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764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4E57" w:rsidRPr="00D675B4" w:rsidTr="00307036">
        <w:trPr>
          <w:trHeight w:val="417"/>
        </w:trPr>
        <w:tc>
          <w:tcPr>
            <w:tcW w:w="3589" w:type="dxa"/>
            <w:shd w:val="clear" w:color="auto" w:fill="auto"/>
            <w:hideMark/>
          </w:tcPr>
          <w:p w:rsidR="00EE4E57" w:rsidRPr="00D675B4" w:rsidRDefault="00EE4E57" w:rsidP="00EE4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2265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1702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764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E57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EE4E57" w:rsidRPr="00D675B4" w:rsidTr="00307036">
        <w:trPr>
          <w:trHeight w:val="315"/>
        </w:trPr>
        <w:tc>
          <w:tcPr>
            <w:tcW w:w="3589" w:type="dxa"/>
            <w:shd w:val="clear" w:color="auto" w:fill="auto"/>
            <w:hideMark/>
          </w:tcPr>
          <w:p w:rsidR="00EE4E57" w:rsidRPr="00D675B4" w:rsidRDefault="00EE4E57" w:rsidP="00EE4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265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E57">
              <w:rPr>
                <w:rFonts w:ascii="Times New Roman" w:hAnsi="Times New Roman"/>
                <w:b/>
                <w:sz w:val="20"/>
                <w:szCs w:val="20"/>
              </w:rPr>
              <w:t>8978,8</w:t>
            </w:r>
          </w:p>
        </w:tc>
        <w:tc>
          <w:tcPr>
            <w:tcW w:w="1702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E57">
              <w:rPr>
                <w:rFonts w:ascii="Times New Roman" w:hAnsi="Times New Roman"/>
                <w:b/>
                <w:sz w:val="20"/>
                <w:szCs w:val="20"/>
              </w:rPr>
              <w:t>21787,1</w:t>
            </w:r>
          </w:p>
        </w:tc>
        <w:tc>
          <w:tcPr>
            <w:tcW w:w="1764" w:type="dxa"/>
            <w:shd w:val="clear" w:color="auto" w:fill="auto"/>
          </w:tcPr>
          <w:p w:rsidR="00EE4E57" w:rsidRPr="00EE4E57" w:rsidRDefault="00EE4E57" w:rsidP="00EE4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4E57">
              <w:rPr>
                <w:rFonts w:ascii="Times New Roman" w:hAnsi="Times New Roman"/>
                <w:b/>
                <w:sz w:val="20"/>
                <w:szCs w:val="20"/>
              </w:rPr>
              <w:t>12808,3</w:t>
            </w:r>
          </w:p>
        </w:tc>
      </w:tr>
    </w:tbl>
    <w:p w:rsidR="007C10E6" w:rsidRDefault="007C10E6" w:rsidP="007C10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10E6" w:rsidRDefault="007C10E6" w:rsidP="007C10E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572B9F">
        <w:rPr>
          <w:rFonts w:ascii="Times New Roman" w:hAnsi="Times New Roman"/>
          <w:iCs/>
          <w:sz w:val="28"/>
          <w:szCs w:val="28"/>
        </w:rPr>
        <w:t>Объем дебиторской задолженности на 01.10.2020 года без учета задолженности по доходам (</w:t>
      </w:r>
      <w:r>
        <w:rPr>
          <w:rFonts w:ascii="Times New Roman" w:hAnsi="Times New Roman"/>
          <w:iCs/>
          <w:sz w:val="28"/>
          <w:szCs w:val="28"/>
        </w:rPr>
        <w:t>2</w:t>
      </w:r>
      <w:r w:rsidR="00EE4E57">
        <w:rPr>
          <w:rFonts w:ascii="Times New Roman" w:hAnsi="Times New Roman"/>
          <w:iCs/>
          <w:sz w:val="28"/>
          <w:szCs w:val="28"/>
        </w:rPr>
        <w:t>0852,6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 w:rsidR="00EE4E57">
        <w:rPr>
          <w:rFonts w:ascii="Times New Roman" w:hAnsi="Times New Roman"/>
          <w:iCs/>
          <w:sz w:val="28"/>
          <w:szCs w:val="28"/>
        </w:rPr>
        <w:t>934,5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</w:t>
      </w:r>
      <w:r>
        <w:rPr>
          <w:rFonts w:ascii="Times New Roman" w:hAnsi="Times New Roman"/>
          <w:iCs/>
          <w:sz w:val="28"/>
          <w:szCs w:val="28"/>
        </w:rPr>
        <w:t xml:space="preserve">на </w:t>
      </w:r>
      <w:r w:rsidRPr="00572B9F">
        <w:rPr>
          <w:rFonts w:ascii="Times New Roman" w:hAnsi="Times New Roman"/>
          <w:iCs/>
          <w:sz w:val="28"/>
          <w:szCs w:val="28"/>
        </w:rPr>
        <w:t>начало года (</w:t>
      </w:r>
      <w:r w:rsidR="00EE4E57">
        <w:rPr>
          <w:rFonts w:ascii="Times New Roman" w:hAnsi="Times New Roman"/>
          <w:iCs/>
          <w:sz w:val="28"/>
          <w:szCs w:val="28"/>
        </w:rPr>
        <w:t>338,6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рублей) на </w:t>
      </w:r>
      <w:r w:rsidR="00EE4E57">
        <w:rPr>
          <w:rFonts w:ascii="Times New Roman" w:hAnsi="Times New Roman"/>
          <w:iCs/>
          <w:sz w:val="28"/>
          <w:szCs w:val="28"/>
        </w:rPr>
        <w:t>595,9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рублей. Просроченная дебиторская задолженность на отчетную дату составила </w:t>
      </w:r>
      <w:r w:rsidR="00EE4E57">
        <w:rPr>
          <w:rFonts w:ascii="Times New Roman" w:hAnsi="Times New Roman"/>
          <w:iCs/>
          <w:sz w:val="28"/>
          <w:szCs w:val="28"/>
        </w:rPr>
        <w:t>588,2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 (задолженность по доходам).  </w:t>
      </w:r>
    </w:p>
    <w:p w:rsidR="007C10E6" w:rsidRPr="00572B9F" w:rsidRDefault="007C10E6" w:rsidP="007C10E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7C10E6" w:rsidRPr="00572B9F" w:rsidRDefault="007C10E6" w:rsidP="007C10E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</w:t>
      </w:r>
      <w:r w:rsidRPr="007226AA">
        <w:rPr>
          <w:rFonts w:ascii="Times New Roman" w:hAnsi="Times New Roman"/>
          <w:bCs/>
          <w:sz w:val="24"/>
          <w:szCs w:val="24"/>
        </w:rPr>
        <w:t xml:space="preserve">   </w:t>
      </w:r>
      <w:r w:rsidRPr="007226AA">
        <w:rPr>
          <w:rFonts w:ascii="Times New Roman" w:hAnsi="Times New Roman"/>
          <w:sz w:val="24"/>
          <w:szCs w:val="24"/>
        </w:rPr>
        <w:t xml:space="preserve">      </w:t>
      </w:r>
      <w:r w:rsidRPr="00572B9F">
        <w:rPr>
          <w:rFonts w:ascii="Times New Roman" w:hAnsi="Times New Roman"/>
          <w:sz w:val="28"/>
          <w:szCs w:val="28"/>
        </w:rPr>
        <w:t>Состояние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на 01.10.2020 года</w:t>
      </w:r>
      <w:r w:rsidRPr="00572B9F">
        <w:rPr>
          <w:rFonts w:ascii="Times New Roman" w:hAnsi="Times New Roman"/>
          <w:sz w:val="28"/>
          <w:szCs w:val="28"/>
        </w:rPr>
        <w:t xml:space="preserve"> характеризуется следующими данными:</w:t>
      </w:r>
    </w:p>
    <w:p w:rsidR="007C10E6" w:rsidRPr="007226AA" w:rsidRDefault="007C10E6" w:rsidP="007C10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 (тыс. рублей)</w:t>
      </w: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4083"/>
        <w:gridCol w:w="1702"/>
        <w:gridCol w:w="1702"/>
        <w:gridCol w:w="1713"/>
      </w:tblGrid>
      <w:tr w:rsidR="007C10E6" w:rsidRPr="007D6FA4" w:rsidTr="007F1348">
        <w:trPr>
          <w:trHeight w:val="317"/>
        </w:trPr>
        <w:tc>
          <w:tcPr>
            <w:tcW w:w="4083" w:type="dxa"/>
            <w:vMerge w:val="restart"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1702" w:type="dxa"/>
            <w:vMerge w:val="restart"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Кредиторская задолженность на 01.01.20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D6FA4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702" w:type="dxa"/>
            <w:vMerge w:val="restart"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Кредиторская задолженность на 01.10.20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D6FA4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713" w:type="dxa"/>
            <w:vMerge w:val="restart"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Увеличение + Уменьшение- кредиторской задолженности на 01.10.20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7C10E6" w:rsidRPr="007D6FA4" w:rsidTr="007F1348">
        <w:trPr>
          <w:trHeight w:val="771"/>
        </w:trPr>
        <w:tc>
          <w:tcPr>
            <w:tcW w:w="4083" w:type="dxa"/>
            <w:vMerge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3" w:type="dxa"/>
            <w:vMerge/>
            <w:hideMark/>
          </w:tcPr>
          <w:p w:rsidR="007C10E6" w:rsidRPr="007D6FA4" w:rsidRDefault="007C10E6" w:rsidP="00307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F1348" w:rsidRPr="007D6FA4" w:rsidTr="007F1348">
        <w:trPr>
          <w:trHeight w:val="201"/>
        </w:trPr>
        <w:tc>
          <w:tcPr>
            <w:tcW w:w="4083" w:type="dxa"/>
            <w:hideMark/>
          </w:tcPr>
          <w:p w:rsidR="007F1348" w:rsidRPr="007D6FA4" w:rsidRDefault="007F1348" w:rsidP="007F134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547,9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487,0</w:t>
            </w:r>
          </w:p>
        </w:tc>
        <w:tc>
          <w:tcPr>
            <w:tcW w:w="1713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-60,9</w:t>
            </w:r>
          </w:p>
        </w:tc>
      </w:tr>
      <w:tr w:rsidR="007F1348" w:rsidRPr="007D6FA4" w:rsidTr="007F1348">
        <w:trPr>
          <w:trHeight w:val="220"/>
        </w:trPr>
        <w:tc>
          <w:tcPr>
            <w:tcW w:w="4083" w:type="dxa"/>
            <w:hideMark/>
          </w:tcPr>
          <w:p w:rsidR="007F1348" w:rsidRPr="007D6FA4" w:rsidRDefault="007F1348" w:rsidP="007F134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13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-0,3</w:t>
            </w:r>
          </w:p>
        </w:tc>
      </w:tr>
      <w:tr w:rsidR="007F1348" w:rsidRPr="007D6FA4" w:rsidTr="007F1348">
        <w:trPr>
          <w:trHeight w:val="265"/>
        </w:trPr>
        <w:tc>
          <w:tcPr>
            <w:tcW w:w="4083" w:type="dxa"/>
            <w:hideMark/>
          </w:tcPr>
          <w:p w:rsidR="007F1348" w:rsidRPr="007D6FA4" w:rsidRDefault="007F1348" w:rsidP="007F134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030200000 "Расчеты по принятым обязательствам"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451,7</w:t>
            </w:r>
          </w:p>
        </w:tc>
        <w:tc>
          <w:tcPr>
            <w:tcW w:w="1713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7F1348" w:rsidRPr="007D6FA4" w:rsidTr="007F1348">
        <w:trPr>
          <w:trHeight w:val="216"/>
        </w:trPr>
        <w:tc>
          <w:tcPr>
            <w:tcW w:w="4083" w:type="dxa"/>
            <w:hideMark/>
          </w:tcPr>
          <w:p w:rsidR="007F1348" w:rsidRPr="007D6FA4" w:rsidRDefault="007F1348" w:rsidP="007F134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  <w:tc>
          <w:tcPr>
            <w:tcW w:w="1713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7F1348" w:rsidRPr="007D6FA4" w:rsidTr="007F1348">
        <w:trPr>
          <w:trHeight w:val="262"/>
        </w:trPr>
        <w:tc>
          <w:tcPr>
            <w:tcW w:w="4083" w:type="dxa"/>
            <w:hideMark/>
          </w:tcPr>
          <w:p w:rsidR="007F1348" w:rsidRPr="007D6FA4" w:rsidRDefault="007F1348" w:rsidP="007F134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030400000 "Прочие расчеты с кредиторами"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-15,8</w:t>
            </w:r>
          </w:p>
        </w:tc>
        <w:tc>
          <w:tcPr>
            <w:tcW w:w="1713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348">
              <w:rPr>
                <w:rFonts w:ascii="Times New Roman" w:hAnsi="Times New Roman"/>
                <w:sz w:val="20"/>
                <w:szCs w:val="20"/>
              </w:rPr>
              <w:t>-15,8</w:t>
            </w:r>
          </w:p>
        </w:tc>
      </w:tr>
      <w:tr w:rsidR="007F1348" w:rsidRPr="007D6FA4" w:rsidTr="007F1348">
        <w:trPr>
          <w:trHeight w:val="315"/>
        </w:trPr>
        <w:tc>
          <w:tcPr>
            <w:tcW w:w="4083" w:type="dxa"/>
            <w:hideMark/>
          </w:tcPr>
          <w:p w:rsidR="007F1348" w:rsidRPr="007D6FA4" w:rsidRDefault="007F1348" w:rsidP="007F134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348">
              <w:rPr>
                <w:rFonts w:ascii="Times New Roman" w:hAnsi="Times New Roman"/>
                <w:b/>
                <w:sz w:val="20"/>
                <w:szCs w:val="20"/>
              </w:rPr>
              <w:t>700,8</w:t>
            </w:r>
          </w:p>
        </w:tc>
        <w:tc>
          <w:tcPr>
            <w:tcW w:w="1702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348">
              <w:rPr>
                <w:rFonts w:ascii="Times New Roman" w:hAnsi="Times New Roman"/>
                <w:b/>
                <w:sz w:val="20"/>
                <w:szCs w:val="20"/>
              </w:rPr>
              <w:t>1041,7</w:t>
            </w:r>
          </w:p>
        </w:tc>
        <w:tc>
          <w:tcPr>
            <w:tcW w:w="1713" w:type="dxa"/>
          </w:tcPr>
          <w:p w:rsidR="007F1348" w:rsidRPr="007F1348" w:rsidRDefault="007F1348" w:rsidP="007F1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348">
              <w:rPr>
                <w:rFonts w:ascii="Times New Roman" w:hAnsi="Times New Roman"/>
                <w:b/>
                <w:sz w:val="20"/>
                <w:szCs w:val="20"/>
              </w:rPr>
              <w:t>340,9</w:t>
            </w:r>
          </w:p>
        </w:tc>
      </w:tr>
    </w:tbl>
    <w:p w:rsidR="007C10E6" w:rsidRPr="007226AA" w:rsidRDefault="007C10E6" w:rsidP="007C10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10E6" w:rsidRPr="007D6FA4" w:rsidRDefault="007C10E6" w:rsidP="007C10E6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D6FA4">
        <w:rPr>
          <w:rFonts w:ascii="Times New Roman" w:hAnsi="Times New Roman"/>
          <w:iCs/>
          <w:sz w:val="28"/>
          <w:szCs w:val="28"/>
        </w:rPr>
        <w:t>Объем кредиторской задолженности на 01.10.2020 года без учета задолженности по доходам (</w:t>
      </w:r>
      <w:r w:rsidR="007F1348">
        <w:rPr>
          <w:rFonts w:ascii="Times New Roman" w:hAnsi="Times New Roman"/>
          <w:iCs/>
          <w:sz w:val="28"/>
          <w:szCs w:val="28"/>
        </w:rPr>
        <w:t>487,0</w:t>
      </w:r>
      <w:r w:rsidRPr="007D6FA4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 w:rsidR="007F1348">
        <w:rPr>
          <w:rFonts w:ascii="Times New Roman" w:hAnsi="Times New Roman"/>
          <w:iCs/>
          <w:sz w:val="28"/>
          <w:szCs w:val="28"/>
        </w:rPr>
        <w:t>554,7</w:t>
      </w:r>
      <w:r w:rsidRPr="007D6FA4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на начало года (</w:t>
      </w:r>
      <w:r w:rsidR="007F1348">
        <w:rPr>
          <w:rFonts w:ascii="Times New Roman" w:hAnsi="Times New Roman"/>
          <w:iCs/>
          <w:sz w:val="28"/>
          <w:szCs w:val="28"/>
        </w:rPr>
        <w:t>152,9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D6FA4">
        <w:rPr>
          <w:rFonts w:ascii="Times New Roman" w:hAnsi="Times New Roman"/>
          <w:iCs/>
          <w:sz w:val="28"/>
          <w:szCs w:val="28"/>
        </w:rPr>
        <w:t xml:space="preserve">тыс. рублей) на </w:t>
      </w:r>
      <w:r w:rsidR="007F1348">
        <w:rPr>
          <w:rFonts w:ascii="Times New Roman" w:hAnsi="Times New Roman"/>
          <w:iCs/>
          <w:sz w:val="28"/>
          <w:szCs w:val="28"/>
        </w:rPr>
        <w:t xml:space="preserve">401,8 </w:t>
      </w:r>
      <w:r w:rsidRPr="007D6FA4">
        <w:rPr>
          <w:rFonts w:ascii="Times New Roman" w:hAnsi="Times New Roman"/>
          <w:iCs/>
          <w:sz w:val="28"/>
          <w:szCs w:val="28"/>
        </w:rPr>
        <w:t xml:space="preserve">тыс. рублей. Просроченная кредиторская задолженность отсутствует.   </w:t>
      </w:r>
    </w:p>
    <w:p w:rsidR="00025F4A" w:rsidRPr="00811E99" w:rsidRDefault="00025F4A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811E99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1E99">
        <w:rPr>
          <w:rFonts w:ascii="Times New Roman" w:hAnsi="Times New Roman"/>
          <w:b/>
          <w:sz w:val="28"/>
          <w:szCs w:val="28"/>
        </w:rPr>
        <w:t xml:space="preserve">        </w:t>
      </w:r>
      <w:r w:rsidR="00861CA2" w:rsidRPr="00811E9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811E99" w:rsidRDefault="000245AD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1348" w:rsidRPr="007F1348" w:rsidRDefault="00DC574C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11E99">
        <w:rPr>
          <w:rFonts w:ascii="Times New Roman" w:hAnsi="Times New Roman"/>
          <w:sz w:val="28"/>
          <w:szCs w:val="28"/>
        </w:rPr>
        <w:t xml:space="preserve"> </w:t>
      </w:r>
      <w:r w:rsidR="00DB4ACE" w:rsidRPr="00811E99">
        <w:rPr>
          <w:rFonts w:ascii="Times New Roman" w:hAnsi="Times New Roman"/>
          <w:sz w:val="28"/>
          <w:szCs w:val="28"/>
        </w:rPr>
        <w:t xml:space="preserve">      </w:t>
      </w:r>
      <w:r w:rsidR="00DB2204" w:rsidRPr="00811E99">
        <w:rPr>
          <w:rFonts w:ascii="Times New Roman" w:hAnsi="Times New Roman"/>
          <w:sz w:val="28"/>
          <w:szCs w:val="28"/>
        </w:rPr>
        <w:t xml:space="preserve"> </w:t>
      </w:r>
      <w:r w:rsidR="007F1348" w:rsidRPr="007F1348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7F1348">
        <w:rPr>
          <w:rFonts w:ascii="Times New Roman" w:hAnsi="Times New Roman"/>
          <w:sz w:val="28"/>
          <w:szCs w:val="28"/>
        </w:rPr>
        <w:t xml:space="preserve">Андомское </w:t>
      </w:r>
      <w:r w:rsidR="007F1348" w:rsidRPr="007F1348">
        <w:rPr>
          <w:rFonts w:ascii="Times New Roman" w:hAnsi="Times New Roman"/>
          <w:sz w:val="28"/>
          <w:szCs w:val="28"/>
        </w:rPr>
        <w:t xml:space="preserve">представлен в Ревизионную комиссию Вытегорского муниципального района в соответствии с Положением о бюджетном процессе в сельском поселении </w:t>
      </w:r>
      <w:r w:rsidR="007F1348">
        <w:rPr>
          <w:rFonts w:ascii="Times New Roman" w:hAnsi="Times New Roman"/>
          <w:sz w:val="28"/>
          <w:szCs w:val="28"/>
        </w:rPr>
        <w:t>Андомское</w:t>
      </w:r>
      <w:r w:rsidR="007F1348" w:rsidRPr="007F1348">
        <w:rPr>
          <w:rFonts w:ascii="Times New Roman" w:hAnsi="Times New Roman"/>
          <w:sz w:val="28"/>
          <w:szCs w:val="28"/>
        </w:rPr>
        <w:t xml:space="preserve">, утвержденным решением Совета сельского поселения </w:t>
      </w:r>
      <w:r w:rsidR="007F1348">
        <w:rPr>
          <w:rFonts w:ascii="Times New Roman" w:hAnsi="Times New Roman"/>
          <w:sz w:val="28"/>
          <w:szCs w:val="28"/>
        </w:rPr>
        <w:t>Андомское</w:t>
      </w:r>
      <w:r w:rsidR="007F1348" w:rsidRPr="007F1348">
        <w:rPr>
          <w:rFonts w:ascii="Times New Roman" w:hAnsi="Times New Roman"/>
          <w:sz w:val="28"/>
          <w:szCs w:val="28"/>
        </w:rPr>
        <w:t xml:space="preserve"> от 14.11.2017 № </w:t>
      </w:r>
      <w:r w:rsidR="007F1348">
        <w:rPr>
          <w:rFonts w:ascii="Times New Roman" w:hAnsi="Times New Roman"/>
          <w:sz w:val="28"/>
          <w:szCs w:val="28"/>
        </w:rPr>
        <w:t>50</w:t>
      </w:r>
      <w:r w:rsidR="007F1348" w:rsidRPr="007F1348">
        <w:rPr>
          <w:rFonts w:ascii="Times New Roman" w:hAnsi="Times New Roman"/>
          <w:sz w:val="28"/>
          <w:szCs w:val="28"/>
        </w:rPr>
        <w:t xml:space="preserve"> (с изменениями).   Данные отчета достоверно отражают исполнение основных характеристик бюджета сельского поселения </w:t>
      </w:r>
      <w:r w:rsidR="007F1348">
        <w:rPr>
          <w:rFonts w:ascii="Times New Roman" w:hAnsi="Times New Roman"/>
          <w:sz w:val="28"/>
          <w:szCs w:val="28"/>
        </w:rPr>
        <w:t xml:space="preserve">Андомское </w:t>
      </w:r>
      <w:r w:rsidR="007F1348" w:rsidRPr="007F1348">
        <w:rPr>
          <w:rFonts w:ascii="Times New Roman" w:hAnsi="Times New Roman"/>
          <w:sz w:val="28"/>
          <w:szCs w:val="28"/>
        </w:rPr>
        <w:t xml:space="preserve">за 9 месяцев 2020 года. </w:t>
      </w:r>
    </w:p>
    <w:p w:rsidR="007F1348" w:rsidRP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348" w:rsidRP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Бюджет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Pr="007F1348">
        <w:rPr>
          <w:rFonts w:ascii="Times New Roman" w:hAnsi="Times New Roman"/>
          <w:sz w:val="28"/>
          <w:szCs w:val="28"/>
        </w:rPr>
        <w:t xml:space="preserve">за 9 месяцев 2020 года выполнен по доходам на сумму </w:t>
      </w:r>
      <w:r w:rsidRPr="007F1348">
        <w:rPr>
          <w:rFonts w:ascii="Times New Roman" w:hAnsi="Times New Roman"/>
          <w:b/>
          <w:sz w:val="28"/>
          <w:szCs w:val="28"/>
        </w:rPr>
        <w:t xml:space="preserve">11718,1 </w:t>
      </w:r>
      <w:r w:rsidRPr="007F1348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72,5 </w:t>
      </w:r>
      <w:r w:rsidRPr="007F1348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Pr="007F1348">
        <w:rPr>
          <w:rFonts w:ascii="Times New Roman" w:hAnsi="Times New Roman"/>
          <w:b/>
          <w:sz w:val="28"/>
          <w:szCs w:val="28"/>
        </w:rPr>
        <w:t>9661,3</w:t>
      </w:r>
      <w:r w:rsidRPr="007F1348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59,6</w:t>
      </w:r>
      <w:r w:rsidRPr="007F1348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7F1348" w:rsidRP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 Бюджет поселения исполнен с профицитом в объеме </w:t>
      </w:r>
      <w:r w:rsidRPr="007B46D2">
        <w:rPr>
          <w:rFonts w:ascii="Times New Roman" w:hAnsi="Times New Roman"/>
          <w:b/>
          <w:sz w:val="28"/>
          <w:szCs w:val="28"/>
        </w:rPr>
        <w:t>2056,8</w:t>
      </w:r>
      <w:r w:rsidRPr="007F1348">
        <w:rPr>
          <w:rFonts w:ascii="Times New Roman" w:hAnsi="Times New Roman"/>
          <w:sz w:val="28"/>
          <w:szCs w:val="28"/>
        </w:rPr>
        <w:t xml:space="preserve"> тыс. рублей.</w:t>
      </w:r>
    </w:p>
    <w:p w:rsidR="007F1348" w:rsidRP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   </w:t>
      </w:r>
    </w:p>
    <w:p w:rsid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прошлого года общий размер поступлений за 9 месяцев текущего года увеличился на 866,4 тыс. рублей, или на 8,0 %</w:t>
      </w:r>
      <w:r>
        <w:rPr>
          <w:rFonts w:ascii="Times New Roman" w:hAnsi="Times New Roman"/>
          <w:sz w:val="28"/>
          <w:szCs w:val="28"/>
        </w:rPr>
        <w:t>,</w:t>
      </w:r>
      <w:r w:rsidRPr="007F1348">
        <w:rPr>
          <w:rFonts w:ascii="Times New Roman" w:hAnsi="Times New Roman"/>
          <w:sz w:val="28"/>
          <w:szCs w:val="28"/>
        </w:rPr>
        <w:t xml:space="preserve"> объем расходов уменьшился на 822,6 тыс. рублей, или на 7,8 %.</w:t>
      </w:r>
    </w:p>
    <w:p w:rsidR="007F1348" w:rsidRP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   </w:t>
      </w:r>
    </w:p>
    <w:p w:rsidR="007F1348" w:rsidRP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7F1348">
        <w:rPr>
          <w:rFonts w:ascii="Times New Roman" w:hAnsi="Times New Roman"/>
          <w:sz w:val="28"/>
          <w:szCs w:val="28"/>
        </w:rPr>
        <w:t xml:space="preserve"> за 9 месяцев 2020 года к рассмотрению с учетом подготовленного анализа. </w:t>
      </w:r>
    </w:p>
    <w:p w:rsidR="007F1348" w:rsidRDefault="007F13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1348">
        <w:rPr>
          <w:rFonts w:ascii="Times New Roman" w:hAnsi="Times New Roman"/>
          <w:sz w:val="28"/>
          <w:szCs w:val="28"/>
        </w:rPr>
        <w:t xml:space="preserve">        Органам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7F1348">
        <w:rPr>
          <w:rFonts w:ascii="Times New Roman" w:hAnsi="Times New Roman"/>
          <w:sz w:val="28"/>
          <w:szCs w:val="28"/>
        </w:rPr>
        <w:t xml:space="preserve"> активизировать работу по сокращению до конца года сформировавшейся дебиторской и кредиторской задолженност</w:t>
      </w:r>
      <w:r w:rsidR="007B46D2">
        <w:rPr>
          <w:rFonts w:ascii="Times New Roman" w:hAnsi="Times New Roman"/>
          <w:sz w:val="28"/>
          <w:szCs w:val="28"/>
        </w:rPr>
        <w:t>ей.</w:t>
      </w:r>
      <w:r w:rsidRPr="007F1348">
        <w:rPr>
          <w:rFonts w:ascii="Times New Roman" w:hAnsi="Times New Roman"/>
          <w:sz w:val="28"/>
          <w:szCs w:val="28"/>
        </w:rPr>
        <w:t xml:space="preserve"> </w:t>
      </w:r>
    </w:p>
    <w:p w:rsidR="007B46D2" w:rsidRDefault="007B46D2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46D2" w:rsidRDefault="007B46D2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46D2" w:rsidRPr="007F1348" w:rsidRDefault="007B46D2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848" w:rsidRPr="00811E99" w:rsidRDefault="00F62848" w:rsidP="007F134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0056" w:rsidRPr="007F1348" w:rsidRDefault="00F62848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1348">
        <w:rPr>
          <w:rFonts w:ascii="Times New Roman" w:hAnsi="Times New Roman"/>
          <w:sz w:val="24"/>
          <w:szCs w:val="24"/>
        </w:rPr>
        <w:t>Ау</w:t>
      </w:r>
      <w:r w:rsidR="00BB0056" w:rsidRPr="007F1348">
        <w:rPr>
          <w:rFonts w:ascii="Times New Roman" w:hAnsi="Times New Roman"/>
          <w:sz w:val="24"/>
          <w:szCs w:val="24"/>
        </w:rPr>
        <w:t xml:space="preserve">дитор  </w:t>
      </w:r>
    </w:p>
    <w:p w:rsidR="00722B16" w:rsidRPr="007F1348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1348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7F1348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93" w:rsidRDefault="00D04193" w:rsidP="009C2D9D">
      <w:pPr>
        <w:spacing w:after="0" w:line="240" w:lineRule="auto"/>
      </w:pPr>
      <w:r>
        <w:separator/>
      </w:r>
    </w:p>
  </w:endnote>
  <w:endnote w:type="continuationSeparator" w:id="0">
    <w:p w:rsidR="00D04193" w:rsidRDefault="00D04193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93" w:rsidRDefault="00D04193" w:rsidP="009C2D9D">
      <w:pPr>
        <w:spacing w:after="0" w:line="240" w:lineRule="auto"/>
      </w:pPr>
      <w:r>
        <w:separator/>
      </w:r>
    </w:p>
  </w:footnote>
  <w:footnote w:type="continuationSeparator" w:id="0">
    <w:p w:rsidR="00D04193" w:rsidRDefault="00D04193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E30"/>
    <w:rsid w:val="000238EB"/>
    <w:rsid w:val="000245AD"/>
    <w:rsid w:val="00025F4A"/>
    <w:rsid w:val="00032139"/>
    <w:rsid w:val="000325B4"/>
    <w:rsid w:val="00043029"/>
    <w:rsid w:val="000536C9"/>
    <w:rsid w:val="00075FBF"/>
    <w:rsid w:val="000A0426"/>
    <w:rsid w:val="000A5D13"/>
    <w:rsid w:val="000B3F8B"/>
    <w:rsid w:val="000C5381"/>
    <w:rsid w:val="000C67A3"/>
    <w:rsid w:val="000F59F3"/>
    <w:rsid w:val="00100243"/>
    <w:rsid w:val="00102AEF"/>
    <w:rsid w:val="00115970"/>
    <w:rsid w:val="001252BF"/>
    <w:rsid w:val="00125992"/>
    <w:rsid w:val="00142D65"/>
    <w:rsid w:val="001457C4"/>
    <w:rsid w:val="00146A4E"/>
    <w:rsid w:val="00152DD2"/>
    <w:rsid w:val="00157D22"/>
    <w:rsid w:val="0016667F"/>
    <w:rsid w:val="001667D4"/>
    <w:rsid w:val="00174C2B"/>
    <w:rsid w:val="001834CF"/>
    <w:rsid w:val="00190C0E"/>
    <w:rsid w:val="00191B88"/>
    <w:rsid w:val="00191FAD"/>
    <w:rsid w:val="001A0468"/>
    <w:rsid w:val="001A24FA"/>
    <w:rsid w:val="001B25E5"/>
    <w:rsid w:val="001C3D49"/>
    <w:rsid w:val="001E2C6F"/>
    <w:rsid w:val="001F2BE3"/>
    <w:rsid w:val="001F3424"/>
    <w:rsid w:val="002406EF"/>
    <w:rsid w:val="0024431B"/>
    <w:rsid w:val="0025466B"/>
    <w:rsid w:val="0025555F"/>
    <w:rsid w:val="00267E05"/>
    <w:rsid w:val="00275F99"/>
    <w:rsid w:val="00281918"/>
    <w:rsid w:val="00281E4B"/>
    <w:rsid w:val="00297B0C"/>
    <w:rsid w:val="002A5EAA"/>
    <w:rsid w:val="002A6FE9"/>
    <w:rsid w:val="002B7546"/>
    <w:rsid w:val="002D51E3"/>
    <w:rsid w:val="002E2B26"/>
    <w:rsid w:val="002E7608"/>
    <w:rsid w:val="002F0497"/>
    <w:rsid w:val="002F2BA5"/>
    <w:rsid w:val="00300992"/>
    <w:rsid w:val="00311ADC"/>
    <w:rsid w:val="00314AB4"/>
    <w:rsid w:val="0032109A"/>
    <w:rsid w:val="00326638"/>
    <w:rsid w:val="003564F2"/>
    <w:rsid w:val="00362FF8"/>
    <w:rsid w:val="003710D9"/>
    <w:rsid w:val="00373D16"/>
    <w:rsid w:val="00374072"/>
    <w:rsid w:val="00374CB4"/>
    <w:rsid w:val="00384B3B"/>
    <w:rsid w:val="00385DE3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05BD7"/>
    <w:rsid w:val="004102AD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0F69"/>
    <w:rsid w:val="004C303F"/>
    <w:rsid w:val="004D58F0"/>
    <w:rsid w:val="004D797C"/>
    <w:rsid w:val="004E035F"/>
    <w:rsid w:val="004E6233"/>
    <w:rsid w:val="00505A07"/>
    <w:rsid w:val="005271FC"/>
    <w:rsid w:val="00533D81"/>
    <w:rsid w:val="00534337"/>
    <w:rsid w:val="00535EE0"/>
    <w:rsid w:val="00543486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0D23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51258"/>
    <w:rsid w:val="007612FC"/>
    <w:rsid w:val="007647E0"/>
    <w:rsid w:val="007761AE"/>
    <w:rsid w:val="0079576A"/>
    <w:rsid w:val="007A03FD"/>
    <w:rsid w:val="007A08A8"/>
    <w:rsid w:val="007B46D2"/>
    <w:rsid w:val="007C10E6"/>
    <w:rsid w:val="007D5C10"/>
    <w:rsid w:val="007E3ACF"/>
    <w:rsid w:val="007E5A67"/>
    <w:rsid w:val="007F1348"/>
    <w:rsid w:val="00805589"/>
    <w:rsid w:val="00811E99"/>
    <w:rsid w:val="00816418"/>
    <w:rsid w:val="00816F14"/>
    <w:rsid w:val="0082077C"/>
    <w:rsid w:val="0082482B"/>
    <w:rsid w:val="00835807"/>
    <w:rsid w:val="008467D2"/>
    <w:rsid w:val="00851B52"/>
    <w:rsid w:val="00853684"/>
    <w:rsid w:val="008547B4"/>
    <w:rsid w:val="00861CA2"/>
    <w:rsid w:val="008B2AE5"/>
    <w:rsid w:val="008B305D"/>
    <w:rsid w:val="008D25C8"/>
    <w:rsid w:val="008E2A43"/>
    <w:rsid w:val="008E509B"/>
    <w:rsid w:val="008E6D97"/>
    <w:rsid w:val="00907350"/>
    <w:rsid w:val="00917266"/>
    <w:rsid w:val="00923922"/>
    <w:rsid w:val="00926228"/>
    <w:rsid w:val="00933568"/>
    <w:rsid w:val="00934BBA"/>
    <w:rsid w:val="00946588"/>
    <w:rsid w:val="009567C9"/>
    <w:rsid w:val="00956AC4"/>
    <w:rsid w:val="00957984"/>
    <w:rsid w:val="009629E9"/>
    <w:rsid w:val="00965F4F"/>
    <w:rsid w:val="00971A95"/>
    <w:rsid w:val="00976BE5"/>
    <w:rsid w:val="009A54D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6215"/>
    <w:rsid w:val="00A63AE5"/>
    <w:rsid w:val="00A65942"/>
    <w:rsid w:val="00A757D1"/>
    <w:rsid w:val="00A82665"/>
    <w:rsid w:val="00A84D14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B5ACE"/>
    <w:rsid w:val="00BC4D7A"/>
    <w:rsid w:val="00BC63CB"/>
    <w:rsid w:val="00BE7CC7"/>
    <w:rsid w:val="00C13569"/>
    <w:rsid w:val="00C264F1"/>
    <w:rsid w:val="00C27FF3"/>
    <w:rsid w:val="00C32558"/>
    <w:rsid w:val="00C34C27"/>
    <w:rsid w:val="00C42468"/>
    <w:rsid w:val="00C46869"/>
    <w:rsid w:val="00C7561A"/>
    <w:rsid w:val="00C76C04"/>
    <w:rsid w:val="00C77D9E"/>
    <w:rsid w:val="00C93AEB"/>
    <w:rsid w:val="00C93B16"/>
    <w:rsid w:val="00C9509C"/>
    <w:rsid w:val="00C96B76"/>
    <w:rsid w:val="00C970CB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04193"/>
    <w:rsid w:val="00D141B0"/>
    <w:rsid w:val="00D2337F"/>
    <w:rsid w:val="00D244A7"/>
    <w:rsid w:val="00D44CBD"/>
    <w:rsid w:val="00D461B3"/>
    <w:rsid w:val="00D4647A"/>
    <w:rsid w:val="00D64849"/>
    <w:rsid w:val="00D6678E"/>
    <w:rsid w:val="00D777CE"/>
    <w:rsid w:val="00D826CD"/>
    <w:rsid w:val="00D8466F"/>
    <w:rsid w:val="00D975BC"/>
    <w:rsid w:val="00DB2204"/>
    <w:rsid w:val="00DB4ACE"/>
    <w:rsid w:val="00DC574C"/>
    <w:rsid w:val="00DD2CB9"/>
    <w:rsid w:val="00DD4D8A"/>
    <w:rsid w:val="00DE5476"/>
    <w:rsid w:val="00E06C0F"/>
    <w:rsid w:val="00E1603C"/>
    <w:rsid w:val="00E250C4"/>
    <w:rsid w:val="00E27894"/>
    <w:rsid w:val="00E37C7C"/>
    <w:rsid w:val="00E46E54"/>
    <w:rsid w:val="00E54EBA"/>
    <w:rsid w:val="00E66F36"/>
    <w:rsid w:val="00E711A9"/>
    <w:rsid w:val="00E755AA"/>
    <w:rsid w:val="00E851D0"/>
    <w:rsid w:val="00E873B6"/>
    <w:rsid w:val="00E92EBB"/>
    <w:rsid w:val="00EA12A9"/>
    <w:rsid w:val="00EB1232"/>
    <w:rsid w:val="00EC555C"/>
    <w:rsid w:val="00EC61C7"/>
    <w:rsid w:val="00ED00C5"/>
    <w:rsid w:val="00ED16C0"/>
    <w:rsid w:val="00ED59BC"/>
    <w:rsid w:val="00EE272E"/>
    <w:rsid w:val="00EE285F"/>
    <w:rsid w:val="00EE4E57"/>
    <w:rsid w:val="00EE6EB4"/>
    <w:rsid w:val="00EF03B0"/>
    <w:rsid w:val="00EF14EF"/>
    <w:rsid w:val="00F010A9"/>
    <w:rsid w:val="00F07FC7"/>
    <w:rsid w:val="00F11E84"/>
    <w:rsid w:val="00F26EFD"/>
    <w:rsid w:val="00F276BB"/>
    <w:rsid w:val="00F4123E"/>
    <w:rsid w:val="00F567FF"/>
    <w:rsid w:val="00F609F5"/>
    <w:rsid w:val="00F60B8F"/>
    <w:rsid w:val="00F613CF"/>
    <w:rsid w:val="00F62848"/>
    <w:rsid w:val="00F7008C"/>
    <w:rsid w:val="00F7359A"/>
    <w:rsid w:val="00F80C21"/>
    <w:rsid w:val="00F80EE6"/>
    <w:rsid w:val="00F8640C"/>
    <w:rsid w:val="00F87BFE"/>
    <w:rsid w:val="00FA28A8"/>
    <w:rsid w:val="00FE1831"/>
    <w:rsid w:val="00FE6B9C"/>
    <w:rsid w:val="00FF0809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EF35-43AA-441D-B2E9-A4AE75DF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2020-11-02T14:22:00Z</cp:lastPrinted>
  <dcterms:created xsi:type="dcterms:W3CDTF">2021-02-01T07:42:00Z</dcterms:created>
  <dcterms:modified xsi:type="dcterms:W3CDTF">2021-02-01T07:42:00Z</dcterms:modified>
</cp:coreProperties>
</file>