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A39A0" w:rsidRDefault="009F52E0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EA39A0">
        <w:rPr>
          <w:rFonts w:ascii="Times New Roman" w:hAnsi="Times New Roman"/>
          <w:b/>
          <w:sz w:val="28"/>
          <w:szCs w:val="28"/>
        </w:rPr>
        <w:t>у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EA39A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C65B6C" w:rsidRPr="00EA39A0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C65B6C" w:rsidRPr="00EA39A0">
        <w:rPr>
          <w:rFonts w:ascii="Times New Roman" w:hAnsi="Times New Roman"/>
          <w:b/>
          <w:sz w:val="28"/>
          <w:szCs w:val="28"/>
        </w:rPr>
        <w:t xml:space="preserve"> 9 месяцев</w:t>
      </w:r>
      <w:r w:rsidR="00306871" w:rsidRPr="00EA39A0">
        <w:rPr>
          <w:rFonts w:ascii="Times New Roman" w:hAnsi="Times New Roman"/>
          <w:b/>
          <w:sz w:val="28"/>
          <w:szCs w:val="28"/>
        </w:rPr>
        <w:t xml:space="preserve"> 2020</w:t>
      </w:r>
      <w:r w:rsidRPr="00EA39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A39A0" w:rsidRDefault="009F52E0" w:rsidP="00EA39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EA39A0" w:rsidRDefault="00C65B6C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>05.11</w:t>
      </w:r>
      <w:r w:rsidR="00306871" w:rsidRPr="00EA39A0">
        <w:rPr>
          <w:rFonts w:ascii="Times New Roman" w:hAnsi="Times New Roman"/>
          <w:sz w:val="28"/>
          <w:szCs w:val="28"/>
        </w:rPr>
        <w:t>.2020</w:t>
      </w:r>
      <w:r w:rsidR="009F52E0" w:rsidRPr="00EA39A0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>
        <w:rPr>
          <w:rFonts w:ascii="Times New Roman" w:hAnsi="Times New Roman"/>
          <w:sz w:val="28"/>
          <w:szCs w:val="28"/>
        </w:rPr>
        <w:t xml:space="preserve">       </w:t>
      </w:r>
      <w:r w:rsidR="009F52E0" w:rsidRPr="00EA39A0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EA39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EA39A0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</w:t>
      </w:r>
      <w:r w:rsidR="00BA764D" w:rsidRPr="00EA39A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EA39A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EA39A0">
        <w:rPr>
          <w:rFonts w:ascii="Times New Roman" w:hAnsi="Times New Roman"/>
          <w:sz w:val="28"/>
          <w:szCs w:val="28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r w:rsidR="000A3150" w:rsidRPr="00EA39A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EA39A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EA39A0">
        <w:rPr>
          <w:rFonts w:ascii="Times New Roman" w:hAnsi="Times New Roman"/>
          <w:sz w:val="28"/>
          <w:szCs w:val="28"/>
        </w:rPr>
        <w:t>–</w:t>
      </w:r>
      <w:r w:rsidR="00D30644" w:rsidRPr="00EA39A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EA3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150" w:rsidRPr="00EA39A0">
        <w:rPr>
          <w:rFonts w:ascii="Times New Roman" w:hAnsi="Times New Roman"/>
          <w:sz w:val="28"/>
          <w:szCs w:val="28"/>
        </w:rPr>
        <w:t>МО</w:t>
      </w:r>
      <w:r w:rsidR="00C65B6C" w:rsidRPr="00EA39A0">
        <w:rPr>
          <w:rFonts w:ascii="Times New Roman" w:hAnsi="Times New Roman"/>
          <w:sz w:val="28"/>
          <w:szCs w:val="28"/>
        </w:rPr>
        <w:t>)  за</w:t>
      </w:r>
      <w:proofErr w:type="gramEnd"/>
      <w:r w:rsidR="00C65B6C" w:rsidRPr="00EA39A0">
        <w:rPr>
          <w:rFonts w:ascii="Times New Roman" w:hAnsi="Times New Roman"/>
          <w:sz w:val="28"/>
          <w:szCs w:val="28"/>
        </w:rPr>
        <w:t xml:space="preserve"> 9 месяцев</w:t>
      </w:r>
      <w:r w:rsidR="00306871" w:rsidRPr="00EA39A0">
        <w:rPr>
          <w:rFonts w:ascii="Times New Roman" w:hAnsi="Times New Roman"/>
          <w:sz w:val="28"/>
          <w:szCs w:val="28"/>
        </w:rPr>
        <w:t xml:space="preserve"> 2020</w:t>
      </w:r>
      <w:r w:rsidR="00BA764D" w:rsidRPr="00EA39A0">
        <w:rPr>
          <w:rFonts w:ascii="Times New Roman" w:hAnsi="Times New Roman"/>
          <w:sz w:val="28"/>
          <w:szCs w:val="28"/>
        </w:rPr>
        <w:t xml:space="preserve"> года </w:t>
      </w:r>
      <w:r w:rsidRPr="00EA39A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39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EA39A0">
        <w:rPr>
          <w:rFonts w:ascii="Times New Roman" w:hAnsi="Times New Roman"/>
          <w:sz w:val="28"/>
          <w:szCs w:val="28"/>
        </w:rPr>
        <w:t>.</w:t>
      </w:r>
    </w:p>
    <w:p w:rsidR="005C45FD" w:rsidRPr="00EA39A0" w:rsidRDefault="00BA7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 произведён по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данным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отчёта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об исполнени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C65B6C" w:rsidRPr="00EA39A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983F25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инистрации МО «Город Вытегра» </w:t>
      </w:r>
      <w:r w:rsidR="00C65B6C" w:rsidRPr="00EA39A0">
        <w:rPr>
          <w:rFonts w:ascii="Times New Roman" w:hAnsi="Times New Roman"/>
          <w:sz w:val="28"/>
          <w:szCs w:val="28"/>
          <w:lang w:eastAsia="ru-RU"/>
        </w:rPr>
        <w:t>02.11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>.2020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EA39A0">
        <w:rPr>
          <w:rFonts w:ascii="Times New Roman" w:hAnsi="Times New Roman"/>
          <w:sz w:val="28"/>
          <w:szCs w:val="28"/>
          <w:lang w:eastAsia="ru-RU"/>
        </w:rPr>
        <w:t>№</w:t>
      </w:r>
      <w:r w:rsidR="00C65B6C" w:rsidRPr="00EA39A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812806" w:rsidRPr="00EA39A0">
        <w:rPr>
          <w:rFonts w:ascii="Times New Roman" w:hAnsi="Times New Roman"/>
          <w:sz w:val="28"/>
          <w:szCs w:val="28"/>
          <w:lang w:eastAsia="ru-RU"/>
        </w:rPr>
        <w:t>92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«Об исполнении бюджета муниципального образова</w:t>
      </w:r>
      <w:r w:rsidR="00586BA4" w:rsidRPr="00EA39A0">
        <w:rPr>
          <w:rFonts w:ascii="Times New Roman" w:hAnsi="Times New Roman"/>
          <w:sz w:val="28"/>
          <w:szCs w:val="28"/>
          <w:lang w:eastAsia="ru-RU"/>
        </w:rPr>
        <w:t>ни</w:t>
      </w:r>
      <w:r w:rsidR="00C65B6C" w:rsidRPr="00EA39A0">
        <w:rPr>
          <w:rFonts w:ascii="Times New Roman" w:hAnsi="Times New Roman"/>
          <w:sz w:val="28"/>
          <w:szCs w:val="28"/>
          <w:lang w:eastAsia="ru-RU"/>
        </w:rPr>
        <w:t>я «Город Вытегра» за 9 месяцев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9A0" w:rsidRDefault="00EA39A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806" w:rsidRPr="00EA39A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>юджет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 xml:space="preserve"> на 2020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EA39A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 xml:space="preserve"> от 10.12.2019 года № 138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>2020</w:t>
      </w:r>
      <w:r w:rsidR="00D62C67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2021 и 2022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306871" w:rsidRPr="00EA39A0">
        <w:rPr>
          <w:rFonts w:ascii="Times New Roman" w:hAnsi="Times New Roman"/>
          <w:sz w:val="28"/>
          <w:szCs w:val="28"/>
          <w:lang w:eastAsia="ru-RU"/>
        </w:rPr>
        <w:t>ходам и расходам в сумме 46542,3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024E" w:rsidRPr="00EA39A0" w:rsidRDefault="00FA024E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EA39A0" w:rsidRDefault="00171DE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10.12.2019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138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«О бюджете муниципального обр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азования «Город Вытегра» на 2020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плановый период 2021 и 2022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»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2</w:t>
      </w:r>
      <w:r w:rsidR="005C147A" w:rsidRPr="00EA39A0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Pr="00EA39A0">
        <w:rPr>
          <w:rFonts w:ascii="Times New Roman" w:hAnsi="Times New Roman"/>
          <w:sz w:val="28"/>
          <w:szCs w:val="28"/>
          <w:lang w:eastAsia="ru-RU"/>
        </w:rPr>
        <w:t>а</w:t>
      </w:r>
      <w:r w:rsidR="005C147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74638,7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(+28096,4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или на 60,4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 w:rsidRPr="00EA39A0">
        <w:rPr>
          <w:rFonts w:ascii="Times New Roman" w:hAnsi="Times New Roman"/>
          <w:sz w:val="28"/>
          <w:szCs w:val="28"/>
          <w:lang w:eastAsia="ru-RU"/>
        </w:rPr>
        <w:t>одов бюджета возросли на 29650,7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24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или на 63,7 процента и составили 76193,0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принятых изменений сформировался дефицит бюджета в объеме 1554,3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FA024E" w:rsidRPr="00EA39A0" w:rsidRDefault="00FA024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1E8" w:rsidRPr="00EA39A0" w:rsidRDefault="00A45EF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изменений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плановые 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EA39A0">
        <w:rPr>
          <w:rFonts w:ascii="Times New Roman" w:hAnsi="Times New Roman"/>
          <w:sz w:val="28"/>
          <w:szCs w:val="28"/>
          <w:lang w:eastAsia="ru-RU"/>
        </w:rPr>
        <w:t>:</w:t>
      </w:r>
    </w:p>
    <w:p w:rsidR="00B9456F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9A0" w:rsidRPr="0028413C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171DEB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FA024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FA024E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171DEB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A024E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87631,3</w:t>
            </w:r>
          </w:p>
        </w:tc>
        <w:tc>
          <w:tcPr>
            <w:tcW w:w="1842" w:type="dxa"/>
          </w:tcPr>
          <w:p w:rsidR="00B90F89" w:rsidRPr="008B33F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74638,7</w:t>
            </w:r>
          </w:p>
        </w:tc>
        <w:tc>
          <w:tcPr>
            <w:tcW w:w="1595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53206,6</w:t>
            </w:r>
          </w:p>
        </w:tc>
        <w:tc>
          <w:tcPr>
            <w:tcW w:w="1595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71,3 %</w:t>
            </w:r>
          </w:p>
        </w:tc>
        <w:tc>
          <w:tcPr>
            <w:tcW w:w="1596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60,7 %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82495,1</w:t>
            </w:r>
          </w:p>
        </w:tc>
        <w:tc>
          <w:tcPr>
            <w:tcW w:w="1842" w:type="dxa"/>
          </w:tcPr>
          <w:p w:rsidR="00B90F89" w:rsidRPr="008B33F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76193,0</w:t>
            </w:r>
          </w:p>
        </w:tc>
        <w:tc>
          <w:tcPr>
            <w:tcW w:w="1595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29143,3</w:t>
            </w:r>
          </w:p>
        </w:tc>
        <w:tc>
          <w:tcPr>
            <w:tcW w:w="1595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38,2 %</w:t>
            </w:r>
          </w:p>
        </w:tc>
        <w:tc>
          <w:tcPr>
            <w:tcW w:w="1596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35,3 %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5136,2</w:t>
            </w:r>
          </w:p>
        </w:tc>
        <w:tc>
          <w:tcPr>
            <w:tcW w:w="1842" w:type="dxa"/>
          </w:tcPr>
          <w:p w:rsidR="00B90F89" w:rsidRPr="008B33F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-1554,3</w:t>
            </w:r>
          </w:p>
        </w:tc>
        <w:tc>
          <w:tcPr>
            <w:tcW w:w="1595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24063,3</w:t>
            </w:r>
          </w:p>
        </w:tc>
        <w:tc>
          <w:tcPr>
            <w:tcW w:w="1595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171DE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EA39A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EA39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171DEB" w:rsidRPr="00EA39A0">
        <w:rPr>
          <w:rFonts w:ascii="Times New Roman" w:hAnsi="Times New Roman"/>
          <w:bCs/>
          <w:sz w:val="28"/>
          <w:szCs w:val="28"/>
          <w:lang w:eastAsia="ru-RU"/>
        </w:rPr>
        <w:t>53206,6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71,3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EA39A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EA39A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60,7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>периода 2019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38,2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29143,3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35,3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>019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EA39A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23504</w:t>
      </w:r>
      <w:proofErr w:type="gramEnd"/>
      <w:r w:rsidR="00171DEB" w:rsidRPr="00EA39A0">
        <w:rPr>
          <w:rFonts w:ascii="Times New Roman" w:hAnsi="Times New Roman"/>
          <w:sz w:val="28"/>
          <w:szCs w:val="28"/>
          <w:lang w:eastAsia="ru-RU"/>
        </w:rPr>
        <w:t>,5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62,3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>да 2019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EA39A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а 1869,0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+8,6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EA39A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сформировался пр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официт бюджета МО в сумме 24063,3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A39A0" w:rsidRDefault="00EA2826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BA764D" w:rsidRPr="00EA39A0" w:rsidRDefault="00BA764D" w:rsidP="00EA39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EA39A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по состоянию на 1 октября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>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>с аналогичным периодом 2019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EA39A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C7670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C767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0C7670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87631,3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74638,7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53206,6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71,3 %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60,7 %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21635,5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37743,0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23504,5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62,3 %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108,6 %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65995,8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36895,7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29702,1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80,5 %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5812,1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8391,3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5891,3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70,2 %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101,4 %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9762,4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5094,1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3677,4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72,2 %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37,7 %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50393,2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85,8 %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39,7 %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121,3 %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474,4 %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DD22A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EA39A0" w:rsidRDefault="008F34C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Доходная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7A293C" w:rsidRPr="00EA39A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53206,6</w:t>
      </w:r>
      <w:r w:rsidR="003D762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EA39A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71,3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EA39A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EA39A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23504,5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62,3</w:t>
      </w:r>
      <w:r w:rsidR="00AC3D0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44,2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2F71E8" w:rsidRPr="00EA39A0" w:rsidRDefault="009A52A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Налоговые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>доходы поступили в сумме 20266,6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что составило 60,7 </w:t>
      </w:r>
      <w:r w:rsidRPr="00EA39A0">
        <w:rPr>
          <w:rFonts w:ascii="Times New Roman" w:hAnsi="Times New Roman"/>
          <w:sz w:val="28"/>
          <w:szCs w:val="28"/>
          <w:lang w:eastAsia="ru-RU"/>
        </w:rPr>
        <w:t>пр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оцента от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годового плана и 107,4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2019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>86,2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от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3237,9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8F1249" w:rsidRPr="00EA39A0">
        <w:rPr>
          <w:rFonts w:ascii="Times New Roman" w:hAnsi="Times New Roman"/>
          <w:sz w:val="28"/>
          <w:szCs w:val="28"/>
          <w:lang w:eastAsia="ru-RU"/>
        </w:rPr>
        <w:t>, или 74,6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% плановых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назначений и 117,4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640724" w:rsidRPr="00EA39A0" w:rsidRDefault="0064072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физических лиц исполнен на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70,5</w:t>
      </w:r>
      <w:r w:rsidR="006C406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EA39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составил 16407,3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(рост по сравнению с аналог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ичным периодом 2019 года на 7,6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процентных пункта или на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1159,0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70,0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1090,2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(меньше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46,4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2019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EA39A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 в сумме 2,3 </w:t>
      </w:r>
      <w:proofErr w:type="spellStart"/>
      <w:r w:rsidR="00E77F5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072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2766,8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32,2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мущество физических лиц – 811,2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(исполнение 14,8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), земельный налог – 1955,6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63,0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1765,6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от организаций (исполнение 117,7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), 190,0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8F1249" w:rsidRPr="00EA39A0">
        <w:rPr>
          <w:rFonts w:ascii="Times New Roman" w:hAnsi="Times New Roman"/>
          <w:sz w:val="28"/>
          <w:szCs w:val="28"/>
          <w:lang w:eastAsia="ru-RU"/>
        </w:rPr>
        <w:t>( 11</w:t>
      </w:r>
      <w:proofErr w:type="gramEnd"/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,8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40724" w:rsidRPr="00EA39A0">
        <w:rPr>
          <w:rFonts w:ascii="Times New Roman" w:hAnsi="Times New Roman"/>
          <w:sz w:val="28"/>
          <w:szCs w:val="28"/>
          <w:lang w:eastAsia="ru-RU"/>
        </w:rPr>
        <w:t>2019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рост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 11,2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процентных пункта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9918B3" w:rsidRPr="00EA39A0" w:rsidRDefault="009918B3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D56B6F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сумме 2394,5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69,4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% годовы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х назначений. Поступило на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1,8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% или на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43,8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084E32" w:rsidRPr="00EA39A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997CF9" w:rsidRPr="00EA39A0" w:rsidRDefault="00997CF9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B6F" w:rsidRPr="00EA39A0" w:rsidRDefault="00D56B6F" w:rsidP="00EA39A0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1532,5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75,8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%). По сравнению с аналогичным периодом прошлого года </w:t>
      </w:r>
      <w:proofErr w:type="gramStart"/>
      <w:r w:rsidR="008F1249" w:rsidRPr="00EA39A0">
        <w:rPr>
          <w:rFonts w:ascii="Times New Roman" w:hAnsi="Times New Roman"/>
          <w:sz w:val="28"/>
          <w:szCs w:val="28"/>
          <w:lang w:eastAsia="ru-RU"/>
        </w:rPr>
        <w:t>рост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120,8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(+ 8,6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D56B6F" w:rsidRPr="00EA39A0" w:rsidRDefault="00121445" w:rsidP="00EA39A0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ущества – 189,3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54,2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 %), сокращение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к уровню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33,2</w:t>
      </w:r>
      <w:r w:rsidR="009038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038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( -14,9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90388F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121445" w:rsidRPr="00EA39A0" w:rsidRDefault="00121445" w:rsidP="00EA39A0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672,7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62,2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%, что мен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ьше уровня прошлого года на 131,4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51C5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1A8B" w:rsidRPr="00EA39A0" w:rsidRDefault="00D31A8B" w:rsidP="00EA39A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в сумме 478,6 </w:t>
      </w:r>
      <w:proofErr w:type="spellStart"/>
      <w:r w:rsidR="0098049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или 106,4 % годовых назначений (больше на 420,0 </w:t>
      </w:r>
      <w:proofErr w:type="spellStart"/>
      <w:r w:rsidR="0098049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8049E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112A3B" w:rsidRPr="00EA39A0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(продажа земел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>ьных участков) состав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или 364,3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83,2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(139,8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5F6B85" w:rsidRPr="00EA39A0" w:rsidRDefault="005F6B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 поступления от штрафов, санкций,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возмещения ущерба за 9 месяцев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2020 г. составили 0,5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EA39A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Низкий процент исполнения сложился по доходам от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аренды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имущества</w:t>
      </w:r>
      <w:proofErr w:type="gramEnd"/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– 54,2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D31A8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EA39A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EA39A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80,5</w:t>
      </w:r>
      <w:r w:rsidR="00C6697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– 29702,1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EA39A0" w:rsidRDefault="0098049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За 9 месяцев 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>2020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Pr="00EA39A0">
        <w:rPr>
          <w:rFonts w:ascii="Times New Roman" w:hAnsi="Times New Roman"/>
          <w:sz w:val="28"/>
          <w:szCs w:val="28"/>
          <w:lang w:eastAsia="ru-RU"/>
        </w:rPr>
        <w:t>1809,1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EA39A0">
        <w:rPr>
          <w:rFonts w:ascii="Times New Roman" w:hAnsi="Times New Roman"/>
          <w:sz w:val="28"/>
          <w:szCs w:val="28"/>
          <w:lang w:eastAsia="ru-RU"/>
        </w:rPr>
        <w:t>75,</w:t>
      </w:r>
      <w:r w:rsidR="008727FE" w:rsidRPr="00EA39A0">
        <w:rPr>
          <w:rFonts w:ascii="Times New Roman" w:hAnsi="Times New Roman"/>
          <w:sz w:val="28"/>
          <w:szCs w:val="28"/>
          <w:lang w:eastAsia="ru-RU"/>
        </w:rPr>
        <w:t>0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 w:rsidRPr="00EA39A0">
        <w:rPr>
          <w:rFonts w:ascii="Times New Roman" w:hAnsi="Times New Roman"/>
          <w:sz w:val="28"/>
          <w:szCs w:val="28"/>
          <w:lang w:eastAsia="ru-RU"/>
        </w:rPr>
        <w:t>ованности бюджета в сумме 1868,3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EA39A0">
        <w:rPr>
          <w:rFonts w:ascii="Times New Roman" w:hAnsi="Times New Roman"/>
          <w:sz w:val="28"/>
          <w:szCs w:val="28"/>
          <w:lang w:eastAsia="ru-RU"/>
        </w:rPr>
        <w:t>69,7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D2360A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BA222B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поступили в объеме 5891,3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или 70,2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(субсидия на орга</w:t>
      </w:r>
      <w:r w:rsidR="007B2E48" w:rsidRPr="00EA39A0">
        <w:rPr>
          <w:rFonts w:ascii="Times New Roman" w:hAnsi="Times New Roman"/>
          <w:sz w:val="28"/>
          <w:szCs w:val="28"/>
          <w:lang w:eastAsia="ru-RU"/>
        </w:rPr>
        <w:t>низацию уличного освещения</w:t>
      </w:r>
      <w:r w:rsidR="00BA222B" w:rsidRPr="00EA39A0">
        <w:rPr>
          <w:rFonts w:ascii="Times New Roman" w:hAnsi="Times New Roman"/>
          <w:sz w:val="28"/>
          <w:szCs w:val="28"/>
          <w:lang w:eastAsia="ru-RU"/>
        </w:rPr>
        <w:t xml:space="preserve"> 1024,2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207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A222B" w:rsidRPr="00EA39A0">
        <w:rPr>
          <w:rFonts w:ascii="Times New Roman" w:hAnsi="Times New Roman"/>
          <w:sz w:val="28"/>
          <w:szCs w:val="28"/>
          <w:lang w:eastAsia="ru-RU"/>
        </w:rPr>
        <w:t>, на реализацию проекта «Народный бюджет» - 4867,1 тыс.рублей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).</w:t>
      </w:r>
    </w:p>
    <w:p w:rsidR="00305832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D2360A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в бюджет МО поступили в объеме 2,0 </w:t>
      </w:r>
      <w:proofErr w:type="spellStart"/>
      <w:r w:rsidR="0098049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–субвенция на осуществление полномочий по составлению протоколов (100,0 % плана)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90B0B" w:rsidRPr="00EA39A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МО поступили в сумме 20000,0</w:t>
      </w:r>
      <w:r w:rsidR="00BA222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222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(дорожная деятельность), что составляет 85,8 % годовых показателей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7518" w:rsidRPr="00EA39A0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D2360A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 w:rsidR="00EA39A0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131,4 </w:t>
      </w:r>
      <w:proofErr w:type="spellStart"/>
      <w:r w:rsidR="00EA39A0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A39A0" w:rsidRPr="00EA39A0">
        <w:rPr>
          <w:rFonts w:ascii="Times New Roman" w:hAnsi="Times New Roman"/>
          <w:sz w:val="28"/>
          <w:szCs w:val="28"/>
          <w:lang w:eastAsia="ru-RU"/>
        </w:rPr>
        <w:t xml:space="preserve"> или 121,3 % годовых плановых показателей (реализация проектов «Народный бюджет»)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E0AB1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EA39A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EA39A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832" w:rsidRPr="00EA39A0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Решением Совета от 10.12.2019 года № 138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Вытегра» на 2020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2021 и 2022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EA39A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ением Городского Совета МО от 26.03.2020 № 153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Дефицит бюдж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ета МО утвержден в объеме 1554,3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032C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4,1 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являются остатки средств на счетах бю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джета по состоянию на 01 01.2020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87783E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EA39A0" w:rsidRPr="00EA39A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BB1" w:rsidRPr="00EA39A0">
        <w:rPr>
          <w:rFonts w:ascii="Times New Roman" w:hAnsi="Times New Roman"/>
          <w:sz w:val="28"/>
          <w:szCs w:val="28"/>
          <w:lang w:eastAsia="ru-RU"/>
        </w:rPr>
        <w:t>про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в объем</w:t>
      </w:r>
      <w:r w:rsidR="00EA39A0" w:rsidRPr="00EA39A0">
        <w:rPr>
          <w:rFonts w:ascii="Times New Roman" w:hAnsi="Times New Roman"/>
          <w:sz w:val="28"/>
          <w:szCs w:val="28"/>
          <w:lang w:eastAsia="ru-RU"/>
        </w:rPr>
        <w:t>е 24063,3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EA39A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Источником внутреннего финансирования дефицита бюджета МО является и</w:t>
      </w:r>
      <w:r w:rsidR="00EC2014" w:rsidRPr="00EA39A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EA39A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EA39A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C1929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C1929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>29143</w:t>
      </w:r>
      <w:proofErr w:type="gramEnd"/>
      <w:r w:rsidR="00D2360A" w:rsidRPr="00AC1929">
        <w:rPr>
          <w:rFonts w:ascii="Times New Roman" w:hAnsi="Times New Roman"/>
          <w:sz w:val="28"/>
          <w:szCs w:val="28"/>
          <w:lang w:eastAsia="ru-RU"/>
        </w:rPr>
        <w:t xml:space="preserve">,3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>38,2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1929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ло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>гичного периода 2019</w:t>
      </w:r>
      <w:r w:rsidR="0006102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>35,3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C1929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Анализ испо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>на 1 октября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412D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C1929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D2360A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BC207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BC207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D2360A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C2075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D2360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82495,1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D2360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76193,0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D2360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29143,3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D2360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38,2 %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D2360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35,3 %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11624,1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6682,2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6451,7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890,5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23236,8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26088,6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2775,8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47480,4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23970,8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10619,5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D2360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3868,5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5931,6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4245,0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+5136,2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-1554,3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+24063,3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9168A6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57,5</w:t>
      </w:r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6682,2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111,7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– 22,9</w:t>
      </w:r>
      <w:r w:rsidR="006C3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увеличен на 909,2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F4C2F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C1929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46,7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243,0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07FD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40,0</w:t>
      </w:r>
      <w:r w:rsidR="005978C6" w:rsidRPr="00AC1929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C1929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направлено 219,7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работ и услуг 23,3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A7648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C1929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На 62,8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рации – 5789,7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возросли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490,6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2A75" w:rsidRPr="00AC1929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722A75" w:rsidRPr="00AC1929">
        <w:rPr>
          <w:rFonts w:ascii="Times New Roman" w:hAnsi="Times New Roman"/>
          <w:sz w:val="28"/>
          <w:szCs w:val="28"/>
          <w:lang w:eastAsia="ru-RU"/>
        </w:rPr>
        <w:t>9,3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о на оплату труда в сумме 3491,6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57,3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1733,0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71,9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ежей 30,6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534,6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92B4D" w:rsidRPr="00AC1929">
        <w:rPr>
          <w:rFonts w:ascii="Times New Roman" w:hAnsi="Times New Roman"/>
          <w:sz w:val="28"/>
          <w:szCs w:val="28"/>
          <w:lang w:eastAsia="ru-RU"/>
        </w:rPr>
        <w:t>78,5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170080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вили 380,5 </w:t>
      </w:r>
      <w:proofErr w:type="spellStart"/>
      <w:r w:rsidR="00941765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41765" w:rsidRPr="00AC1929">
        <w:rPr>
          <w:rFonts w:ascii="Times New Roman" w:hAnsi="Times New Roman"/>
          <w:sz w:val="28"/>
          <w:szCs w:val="28"/>
          <w:lang w:eastAsia="ru-RU"/>
        </w:rPr>
        <w:t>( 71</w:t>
      </w:r>
      <w:proofErr w:type="gramEnd"/>
      <w:r w:rsidR="00941765" w:rsidRPr="00AC1929">
        <w:rPr>
          <w:rFonts w:ascii="Times New Roman" w:hAnsi="Times New Roman"/>
          <w:sz w:val="28"/>
          <w:szCs w:val="28"/>
          <w:lang w:eastAsia="ru-RU"/>
        </w:rPr>
        <w:t>,4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Pr="00AC1929" w:rsidRDefault="0037381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8644E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на 28,0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и 269,0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C192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Pr="00AC1929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живание муниципальной казны 92,2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723F36" w:rsidRPr="00AC1929" w:rsidRDefault="00E31FA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 xml:space="preserve"> на исполнени</w:t>
      </w:r>
      <w:r w:rsidR="00911239" w:rsidRPr="00AC1929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175,8 </w:t>
      </w:r>
      <w:proofErr w:type="spellStart"/>
      <w:r w:rsidR="00F50C6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41765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41765" w:rsidRPr="00AC1929" w:rsidRDefault="0094176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 уплата налогов, сборов и иных платежей – 1,0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723F36" w:rsidRPr="00AC1929" w:rsidRDefault="00723F3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C36" w:rsidRPr="00AC1929" w:rsidRDefault="00637CE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 на оплату труда перс</w:t>
      </w:r>
      <w:r w:rsidR="002A6ECC" w:rsidRPr="00AC1929">
        <w:rPr>
          <w:rFonts w:ascii="Times New Roman" w:hAnsi="Times New Roman"/>
          <w:sz w:val="28"/>
          <w:szCs w:val="28"/>
          <w:lang w:eastAsia="ru-RU"/>
        </w:rPr>
        <w:t>оналу му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ни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ципальных органов за 9 месяцев</w:t>
      </w:r>
      <w:r w:rsidR="00A1039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>2020</w:t>
      </w:r>
      <w:r w:rsidR="004F7D5C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3709,8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, что составляет 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56,1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9C1791" w:rsidRPr="00AC1929" w:rsidRDefault="009C1791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FAA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C1929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2A6ECC" w:rsidRPr="00AC1929">
        <w:rPr>
          <w:rFonts w:ascii="Times New Roman" w:hAnsi="Times New Roman"/>
          <w:bCs/>
          <w:sz w:val="28"/>
          <w:szCs w:val="28"/>
          <w:lang w:eastAsia="ru-RU"/>
        </w:rPr>
        <w:t>в отчетно</w:t>
      </w:r>
      <w:r w:rsidR="00723F36" w:rsidRPr="00AC1929">
        <w:rPr>
          <w:rFonts w:ascii="Times New Roman" w:hAnsi="Times New Roman"/>
          <w:bCs/>
          <w:sz w:val="28"/>
          <w:szCs w:val="28"/>
          <w:lang w:eastAsia="ru-RU"/>
        </w:rPr>
        <w:t>м периоде 2020</w:t>
      </w:r>
      <w:r w:rsidR="00C427E9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составило 3268,1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>( 50</w:t>
      </w:r>
      <w:proofErr w:type="gramEnd"/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,7 % годовых назначений), 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в том числе на обеспечение защиты населения и территории от ЧС природного и техногенного хар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ктера, гражданскую оборону 150,4 </w:t>
      </w:r>
      <w:proofErr w:type="spellStart"/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( 75,2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по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казателей), на обеспеч</w:t>
      </w:r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>ение пожарной безопасности 3117,7</w:t>
      </w:r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(49,9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годового плана). 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A764D" w:rsidRPr="00AC1929" w:rsidRDefault="003E79A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>Профинансиро</w:t>
      </w:r>
      <w:r w:rsidR="005072A6" w:rsidRPr="00AC1929">
        <w:rPr>
          <w:rFonts w:ascii="Times New Roman" w:hAnsi="Times New Roman"/>
          <w:bCs/>
          <w:sz w:val="28"/>
          <w:szCs w:val="28"/>
          <w:lang w:eastAsia="ru-RU"/>
        </w:rPr>
        <w:t>вано</w:t>
      </w:r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содержание городского пляжа 150,4</w:t>
      </w:r>
      <w:r w:rsidR="005072A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5072A6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5072A6" w:rsidRPr="00AC1929">
        <w:rPr>
          <w:rFonts w:ascii="Times New Roman" w:hAnsi="Times New Roman"/>
          <w:bCs/>
          <w:sz w:val="28"/>
          <w:szCs w:val="28"/>
          <w:lang w:eastAsia="ru-RU"/>
        </w:rPr>
        <w:t>, очи</w:t>
      </w:r>
      <w:r w:rsidR="00E31FAA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стка и ремонт пожарных водоемов, сметные </w:t>
      </w:r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>работы по текущему ремонту 331,5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тыс</w:t>
      </w:r>
      <w:r w:rsidR="00852F3F" w:rsidRPr="00AC192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proofErr w:type="spellEnd"/>
      <w:r w:rsidR="00BE0B69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E31FAA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в том числе </w:t>
      </w:r>
      <w:r w:rsidR="00BE0B69" w:rsidRPr="00AC1929">
        <w:rPr>
          <w:rFonts w:ascii="Times New Roman" w:hAnsi="Times New Roman"/>
          <w:bCs/>
          <w:sz w:val="28"/>
          <w:szCs w:val="28"/>
          <w:lang w:eastAsia="ru-RU"/>
        </w:rPr>
        <w:t>погашение кредиторской задолженности)</w:t>
      </w:r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, реализация проекта «Народный </w:t>
      </w:r>
      <w:proofErr w:type="gramStart"/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>бюджет»-</w:t>
      </w:r>
      <w:proofErr w:type="gramEnd"/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текущий ремонт пожарных водоемов -  2786,2 </w:t>
      </w:r>
      <w:proofErr w:type="spellStart"/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</w:p>
    <w:p w:rsidR="009051C0" w:rsidRPr="00AC1929" w:rsidRDefault="009051C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EDD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E3114F" w:rsidRPr="00AC1929">
        <w:rPr>
          <w:rFonts w:ascii="Times New Roman" w:hAnsi="Times New Roman"/>
          <w:sz w:val="28"/>
          <w:szCs w:val="28"/>
          <w:lang w:eastAsia="ru-RU"/>
        </w:rPr>
        <w:t>составило 2775,8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E3114F" w:rsidRPr="00AC1929">
        <w:rPr>
          <w:rFonts w:ascii="Times New Roman" w:hAnsi="Times New Roman"/>
          <w:sz w:val="28"/>
          <w:szCs w:val="28"/>
          <w:lang w:eastAsia="ru-RU"/>
        </w:rPr>
        <w:t>10,6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E3114F" w:rsidRPr="00AC1929">
        <w:rPr>
          <w:rFonts w:ascii="Times New Roman" w:hAnsi="Times New Roman"/>
          <w:sz w:val="28"/>
          <w:szCs w:val="28"/>
          <w:lang w:eastAsia="ru-RU"/>
        </w:rPr>
        <w:t>11,9</w:t>
      </w:r>
      <w:r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Основную долю расходов составляют расходы на Дорожное хоз</w:t>
      </w:r>
      <w:r w:rsidR="00F00F8E" w:rsidRPr="00AC1929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AC1929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2435,9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5B02B6" w:rsidRPr="00AC1929">
        <w:rPr>
          <w:rFonts w:ascii="Times New Roman" w:hAnsi="Times New Roman"/>
          <w:sz w:val="28"/>
          <w:szCs w:val="28"/>
          <w:lang w:eastAsia="ru-RU"/>
        </w:rPr>
        <w:t>их</w:t>
      </w:r>
      <w:proofErr w:type="gramEnd"/>
      <w:r w:rsidR="005B02B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доля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 в разделе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87,8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132" w:rsidRPr="00AC1929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162774" w:rsidRPr="00AC1929" w:rsidRDefault="0016277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ов –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 22999,1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A54209" w:rsidRPr="00AC1929">
        <w:rPr>
          <w:rFonts w:ascii="Times New Roman" w:hAnsi="Times New Roman"/>
          <w:sz w:val="28"/>
          <w:szCs w:val="28"/>
          <w:lang w:eastAsia="ru-RU"/>
        </w:rPr>
        <w:t>, из них акцизов 1090,2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 налог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лиц 1345,7 </w:t>
      </w:r>
      <w:proofErr w:type="spellStart"/>
      <w:r w:rsidR="00A54209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, иные межбюджетные трансферты из районного бюджета 20000,0 </w:t>
      </w:r>
      <w:proofErr w:type="spellStart"/>
      <w:r w:rsidR="00A54209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, остаток средств на 01.01.2020 года 563,2 </w:t>
      </w:r>
      <w:proofErr w:type="spellStart"/>
      <w:r w:rsidR="00A54209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да за 9 месяцев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представлена в составе пояснительной записки к отчету.</w:t>
      </w:r>
    </w:p>
    <w:p w:rsidR="007523EB" w:rsidRPr="00AC1929" w:rsidRDefault="007523E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о подразделу 0409 составило 9,6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м, а к аналогичному периоду 2019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составило 10,7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C1929">
        <w:rPr>
          <w:rFonts w:ascii="Times New Roman" w:hAnsi="Times New Roman"/>
          <w:sz w:val="28"/>
          <w:szCs w:val="28"/>
          <w:lang w:eastAsia="ru-RU"/>
        </w:rPr>
        <w:t>соде</w:t>
      </w:r>
      <w:r w:rsidRPr="00AC1929">
        <w:rPr>
          <w:rFonts w:ascii="Times New Roman" w:hAnsi="Times New Roman"/>
          <w:sz w:val="28"/>
          <w:szCs w:val="28"/>
          <w:lang w:eastAsia="ru-RU"/>
        </w:rPr>
        <w:t>ржания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 xml:space="preserve"> и ремон</w:t>
      </w:r>
      <w:r w:rsidR="007104ED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а дорог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23EB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08 «Транспорт» з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C1929">
        <w:rPr>
          <w:rFonts w:ascii="Times New Roman" w:hAnsi="Times New Roman"/>
          <w:sz w:val="28"/>
          <w:szCs w:val="28"/>
          <w:lang w:eastAsia="ru-RU"/>
        </w:rPr>
        <w:t>ав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или 289,9 </w:t>
      </w:r>
      <w:proofErr w:type="spellStart"/>
      <w:r w:rsidR="00E31FAA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 или 46,8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7523EB" w:rsidRPr="00AC1929" w:rsidRDefault="00E31FA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сумме 50,0</w:t>
      </w:r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по подразделу 0412 «Другие вопросы в области национальной экономики»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 (100,0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 на 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Pr="00AC1929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C1929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>на 44,3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или 10619,5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C1929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>ения плановых показателей – 51,1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1095,5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имеют расходы по подразделу </w:t>
      </w:r>
      <w:r w:rsidR="002E623A" w:rsidRPr="00AC1929">
        <w:rPr>
          <w:rFonts w:ascii="Times New Roman" w:hAnsi="Times New Roman"/>
          <w:sz w:val="28"/>
          <w:szCs w:val="28"/>
          <w:lang w:eastAsia="ru-RU"/>
        </w:rPr>
        <w:t xml:space="preserve">0501 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«Жилищное хозяйство».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2020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 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-взносы в НО «Фонд капи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тального ремонта МКД ВО» - </w:t>
      </w:r>
      <w:proofErr w:type="gramStart"/>
      <w:r w:rsidR="008257A3" w:rsidRPr="00AC1929">
        <w:rPr>
          <w:rFonts w:ascii="Times New Roman" w:hAnsi="Times New Roman"/>
          <w:sz w:val="28"/>
          <w:szCs w:val="28"/>
          <w:lang w:eastAsia="ru-RU"/>
        </w:rPr>
        <w:t>332,1</w:t>
      </w:r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AC1929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мест общего пользования – 410,0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-работы по текущему ремонту м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униципального жилого фонда 353,4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Исполнение по подразделу 0502</w:t>
      </w:r>
      <w:r w:rsidR="00F234F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«Коммунальное хозяйство»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 2334,9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645C16" w:rsidRPr="00AC1929">
        <w:rPr>
          <w:rFonts w:ascii="Times New Roman" w:hAnsi="Times New Roman"/>
          <w:sz w:val="28"/>
          <w:szCs w:val="28"/>
          <w:lang w:eastAsia="ru-RU"/>
        </w:rPr>
        <w:t>, что составило 31,9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сократились на 973,5 </w:t>
      </w:r>
      <w:proofErr w:type="spellStart"/>
      <w:r w:rsidR="00645C1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или на 29,4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773C51" w:rsidRPr="00AC1929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Профинансиров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-обслуживание газово-р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аспределительных установок</w:t>
      </w:r>
      <w:r w:rsidR="00541D8B" w:rsidRPr="00AC1929">
        <w:rPr>
          <w:rFonts w:ascii="Times New Roman" w:hAnsi="Times New Roman"/>
          <w:sz w:val="28"/>
          <w:szCs w:val="28"/>
          <w:lang w:eastAsia="ru-RU"/>
        </w:rPr>
        <w:t>, приобретение основных средств и материальных запасов, составление сметной документации, работы по монтажу канализационных колодцев, ре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монт сетей наружной канализации, приобретение строительных материалов, услуги дорожной техники 1394,8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организ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ция уличного освещения – 940,1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212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22120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1CF" w:rsidRPr="00AC1929" w:rsidRDefault="00EB0FF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 подразделу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>03 «Б</w:t>
      </w:r>
      <w:r w:rsidRPr="00AC1929">
        <w:rPr>
          <w:rFonts w:ascii="Times New Roman" w:hAnsi="Times New Roman"/>
          <w:sz w:val="28"/>
          <w:szCs w:val="28"/>
          <w:lang w:eastAsia="ru-RU"/>
        </w:rPr>
        <w:t>лагоустройство»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ED23E6" w:rsidRPr="00AC1929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7189,1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ли 49,6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наз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начений и 16,7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2019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Pr="00AC1929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фи</w:t>
      </w:r>
      <w:r w:rsidR="009E41CF" w:rsidRPr="00AC1929">
        <w:rPr>
          <w:rFonts w:ascii="Times New Roman" w:hAnsi="Times New Roman"/>
          <w:sz w:val="28"/>
          <w:szCs w:val="28"/>
          <w:lang w:eastAsia="ru-RU"/>
        </w:rPr>
        <w:t>нансирование направлено:</w:t>
      </w:r>
    </w:p>
    <w:p w:rsidR="00ED23E6" w:rsidRPr="00AC1929" w:rsidRDefault="00ED23E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>-передачу полномочий на реализацию мероприятий по благоустройству дворовых и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общественных территорий – 330,9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организацию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уличного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освещения 2937,3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0DBC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0DBC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093FA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70F2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-содержание городского кладбища – 69,3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прочие мероприятия: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ПСД 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и работы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>«Благоустройство дворовых территорий», строительство насосной станции</w:t>
      </w:r>
      <w:r w:rsidR="00ED23E6" w:rsidRPr="00AC1929">
        <w:rPr>
          <w:rFonts w:ascii="Times New Roman" w:hAnsi="Times New Roman"/>
          <w:sz w:val="28"/>
          <w:szCs w:val="28"/>
          <w:lang w:eastAsia="ru-RU"/>
        </w:rPr>
        <w:t xml:space="preserve"> на набережной реки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и ремонт 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тротуаров и парковых зон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>оплата услуг по тех-экономическому и финансовому обоснованию п</w:t>
      </w:r>
      <w:r w:rsidR="00ED23E6" w:rsidRPr="00AC1929">
        <w:rPr>
          <w:rFonts w:ascii="Times New Roman" w:hAnsi="Times New Roman"/>
          <w:sz w:val="28"/>
          <w:szCs w:val="28"/>
          <w:lang w:eastAsia="ru-RU"/>
        </w:rPr>
        <w:t>роекта «Детский городок», ПСД на ликвидацию несанкционированной свалки, благоустройство общественной территории, сан-</w:t>
      </w:r>
      <w:proofErr w:type="spellStart"/>
      <w:r w:rsidR="00ED23E6" w:rsidRPr="00AC1929">
        <w:rPr>
          <w:rFonts w:ascii="Times New Roman" w:hAnsi="Times New Roman"/>
          <w:sz w:val="28"/>
          <w:szCs w:val="28"/>
          <w:lang w:eastAsia="ru-RU"/>
        </w:rPr>
        <w:t>эпид</w:t>
      </w:r>
      <w:proofErr w:type="spellEnd"/>
      <w:r w:rsidR="00ED23E6" w:rsidRPr="00AC1929">
        <w:rPr>
          <w:rFonts w:ascii="Times New Roman" w:hAnsi="Times New Roman"/>
          <w:sz w:val="28"/>
          <w:szCs w:val="28"/>
          <w:lang w:eastAsia="ru-RU"/>
        </w:rPr>
        <w:t xml:space="preserve"> услуги. текущий ремонт мемориал комплекса, запуск и пуско-наладка оборудования фонтана, 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>работы по установке контейнеров для накопления ТКО, проведение дезинсекции открытых территорий, приобретение памятных плит на воинское кладбище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 – 3297,4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68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86874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D86874" w:rsidRPr="00AC1929" w:rsidRDefault="00D8687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-содержание городского кладбища – 271,3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D86874" w:rsidRPr="00AC1929" w:rsidRDefault="00D8687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-реализация проекта «Народный бюджет» приобретение новогодней ели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и материалов – 352,1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247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составило 122,9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3DB1" w:rsidRPr="00AC1929">
        <w:rPr>
          <w:rFonts w:ascii="Times New Roman" w:hAnsi="Times New Roman"/>
          <w:sz w:val="28"/>
          <w:szCs w:val="28"/>
          <w:lang w:eastAsia="ru-RU"/>
        </w:rPr>
        <w:t>тыс.р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AE6324" w:rsidRPr="00AC1929">
        <w:rPr>
          <w:rFonts w:ascii="Times New Roman" w:hAnsi="Times New Roman"/>
          <w:sz w:val="28"/>
          <w:szCs w:val="28"/>
          <w:lang w:eastAsia="ru-RU"/>
        </w:rPr>
        <w:t>, или 75,0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C1929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C1929">
        <w:rPr>
          <w:rFonts w:ascii="Times New Roman" w:hAnsi="Times New Roman"/>
          <w:sz w:val="28"/>
          <w:szCs w:val="28"/>
          <w:lang w:eastAsia="ru-RU"/>
        </w:rPr>
        <w:t>период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>а составило 71,6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>4245,0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(109,7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>муниципального задания) – 3420,0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финансирование переданных полномочий по библиотечном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у обслуживанию населения – </w:t>
      </w:r>
      <w:proofErr w:type="gramStart"/>
      <w:r w:rsidR="00AE6324" w:rsidRPr="00AC1929">
        <w:rPr>
          <w:rFonts w:ascii="Times New Roman" w:hAnsi="Times New Roman"/>
          <w:sz w:val="28"/>
          <w:szCs w:val="28"/>
          <w:lang w:eastAsia="ru-RU"/>
        </w:rPr>
        <w:t>825,0</w:t>
      </w:r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>чение) произведено в сумме 200,8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или 75,0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A4A" w:rsidRPr="00AC1929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C1929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ставило 1190,8 </w:t>
      </w:r>
      <w:proofErr w:type="spellStart"/>
      <w:r w:rsidR="00AE632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или 75,0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в районный бюджет на исполнение переданных полномочий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734D35" w:rsidRPr="00AC1929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Pr="00AC1929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C1929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>периоде произведено в сум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ме 38,2 </w:t>
      </w:r>
      <w:proofErr w:type="spellStart"/>
      <w:r w:rsidR="00D868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или 35,7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D86874" w:rsidRPr="00AC1929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отчетный период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>2020</w:t>
      </w:r>
      <w:r w:rsidR="00F77CFB" w:rsidRPr="00AC1929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8B37ED" w:rsidRPr="00AC1929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gramStart"/>
      <w:r w:rsidR="008B37ED" w:rsidRPr="00AC1929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получен</w:t>
      </w:r>
      <w:proofErr w:type="gramEnd"/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 разделам 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10,6 %, </w:t>
      </w:r>
      <w:r w:rsidR="004435C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="00E16D73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 w:rsidR="00E16D73" w:rsidRPr="00AC192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- 44,3 %, 12 «Средства массовой информации» - 35,7 %.</w:t>
      </w:r>
    </w:p>
    <w:p w:rsidR="00CD0A2A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C1929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разделу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07 «Образование» и 10</w:t>
      </w:r>
      <w:r w:rsidR="004435C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bCs/>
          <w:sz w:val="28"/>
          <w:szCs w:val="28"/>
          <w:lang w:eastAsia="ru-RU"/>
        </w:rPr>
        <w:t>«Социальная политика»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. 11 «Физическая культура и спорт», 08 «</w:t>
      </w:r>
      <w:bookmarkStart w:id="0" w:name="_GoBack"/>
      <w:bookmarkEnd w:id="0"/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Культура, кинематография».</w:t>
      </w:r>
    </w:p>
    <w:p w:rsidR="00682C94" w:rsidRPr="00AC1929" w:rsidRDefault="00682C94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1929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Pr="00AC1929">
        <w:rPr>
          <w:rFonts w:ascii="Times New Roman" w:hAnsi="Times New Roman"/>
          <w:sz w:val="28"/>
          <w:szCs w:val="28"/>
        </w:rPr>
        <w:t>отчетн</w:t>
      </w:r>
      <w:r w:rsidR="00AE6324" w:rsidRPr="00AC1929">
        <w:rPr>
          <w:rFonts w:ascii="Times New Roman" w:hAnsi="Times New Roman"/>
          <w:sz w:val="28"/>
          <w:szCs w:val="28"/>
        </w:rPr>
        <w:t>ости  по</w:t>
      </w:r>
      <w:proofErr w:type="gramEnd"/>
      <w:r w:rsidR="00AE6324" w:rsidRPr="00AC1929">
        <w:rPr>
          <w:rFonts w:ascii="Times New Roman" w:hAnsi="Times New Roman"/>
          <w:sz w:val="28"/>
          <w:szCs w:val="28"/>
        </w:rPr>
        <w:t xml:space="preserve"> состоянию на 01.10</w:t>
      </w:r>
      <w:r w:rsidRPr="00AC1929">
        <w:rPr>
          <w:rFonts w:ascii="Times New Roman" w:hAnsi="Times New Roman"/>
          <w:sz w:val="28"/>
          <w:szCs w:val="28"/>
        </w:rPr>
        <w:t xml:space="preserve">.2020 года (бухгалтерская отчетность ф. 0503169). 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В ходе исполнения решения Городского Совета муниципального образования «Город Вытегра» от 10.12.2019 года № 138 «О бюджете муниципального образования «Город Вытегра» на 2020 год и плановый период 2021 и 2022 года»</w:t>
      </w:r>
      <w:r w:rsidR="00F03F09" w:rsidRPr="00AC1929">
        <w:rPr>
          <w:rFonts w:ascii="Times New Roman" w:hAnsi="Times New Roman"/>
          <w:sz w:val="28"/>
          <w:szCs w:val="28"/>
        </w:rPr>
        <w:t xml:space="preserve"> </w:t>
      </w:r>
      <w:r w:rsidRPr="00AC1929">
        <w:rPr>
          <w:rFonts w:ascii="Times New Roman" w:hAnsi="Times New Roman"/>
          <w:sz w:val="28"/>
          <w:szCs w:val="28"/>
        </w:rPr>
        <w:t>главным</w:t>
      </w:r>
      <w:r w:rsidR="00F03F09" w:rsidRPr="00AC1929">
        <w:rPr>
          <w:rFonts w:ascii="Times New Roman" w:hAnsi="Times New Roman"/>
          <w:sz w:val="28"/>
          <w:szCs w:val="28"/>
        </w:rPr>
        <w:t>и распорядителями</w:t>
      </w:r>
      <w:r w:rsidRPr="00AC1929">
        <w:rPr>
          <w:rFonts w:ascii="Times New Roman" w:hAnsi="Times New Roman"/>
          <w:sz w:val="28"/>
          <w:szCs w:val="28"/>
        </w:rPr>
        <w:t xml:space="preserve"> бюджета МО допущено отвлечение бюджетных средств в дебиторскую задолженность.</w:t>
      </w:r>
    </w:p>
    <w:p w:rsidR="00AE6324" w:rsidRPr="00AC1929" w:rsidRDefault="00AE632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Согласно отчета дебиторская задолженность по бюджету МО (без расчетов с дебиторами по доходам, по бюджетным кредитам) в течение отчетно</w:t>
      </w:r>
      <w:r w:rsidR="0054595B" w:rsidRPr="00AC1929">
        <w:rPr>
          <w:rFonts w:ascii="Times New Roman" w:hAnsi="Times New Roman"/>
          <w:sz w:val="28"/>
          <w:szCs w:val="28"/>
        </w:rPr>
        <w:t>го периода увеличилась на 5238,1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</w:t>
      </w:r>
      <w:r w:rsidR="0054595B" w:rsidRPr="00AC1929">
        <w:rPr>
          <w:rFonts w:ascii="Times New Roman" w:hAnsi="Times New Roman"/>
          <w:sz w:val="28"/>
          <w:szCs w:val="28"/>
        </w:rPr>
        <w:t>лей</w:t>
      </w:r>
      <w:proofErr w:type="spellEnd"/>
      <w:r w:rsidR="0054595B" w:rsidRPr="00AC1929">
        <w:rPr>
          <w:rFonts w:ascii="Times New Roman" w:hAnsi="Times New Roman"/>
          <w:sz w:val="28"/>
          <w:szCs w:val="28"/>
        </w:rPr>
        <w:t xml:space="preserve"> и по состоянию на 01.10</w:t>
      </w:r>
      <w:r w:rsidR="00F03F09" w:rsidRPr="00AC1929">
        <w:rPr>
          <w:rFonts w:ascii="Times New Roman" w:hAnsi="Times New Roman"/>
          <w:sz w:val="28"/>
          <w:szCs w:val="28"/>
        </w:rPr>
        <w:t>.2020</w:t>
      </w:r>
      <w:r w:rsidRPr="00AC1929">
        <w:rPr>
          <w:rFonts w:ascii="Times New Roman" w:hAnsi="Times New Roman"/>
          <w:sz w:val="28"/>
          <w:szCs w:val="28"/>
        </w:rPr>
        <w:t xml:space="preserve"> года с</w:t>
      </w:r>
      <w:r w:rsidR="0054595B" w:rsidRPr="00AC1929">
        <w:rPr>
          <w:rFonts w:ascii="Times New Roman" w:hAnsi="Times New Roman"/>
          <w:sz w:val="28"/>
          <w:szCs w:val="28"/>
        </w:rPr>
        <w:t>оставляет 7219,6</w:t>
      </w:r>
      <w:r w:rsidRPr="00AC1929">
        <w:rPr>
          <w:rFonts w:ascii="Times New Roman" w:hAnsi="Times New Roman"/>
          <w:sz w:val="28"/>
          <w:szCs w:val="28"/>
        </w:rPr>
        <w:t xml:space="preserve"> тыс. рублей.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Состояние дебитор</w:t>
      </w:r>
      <w:r w:rsidR="0054595B" w:rsidRPr="00AC1929">
        <w:rPr>
          <w:rFonts w:ascii="Times New Roman" w:hAnsi="Times New Roman"/>
          <w:sz w:val="28"/>
          <w:szCs w:val="28"/>
        </w:rPr>
        <w:t>ской задолженности на 01.10</w:t>
      </w:r>
      <w:r w:rsidR="00F03F09" w:rsidRPr="00AC1929">
        <w:rPr>
          <w:rFonts w:ascii="Times New Roman" w:hAnsi="Times New Roman"/>
          <w:sz w:val="28"/>
          <w:szCs w:val="28"/>
        </w:rPr>
        <w:t>.2020</w:t>
      </w:r>
      <w:r w:rsidRPr="00AC1929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-задолженность по счету 120600000 «Расчеты по вы</w:t>
      </w:r>
      <w:r w:rsidR="0054595B" w:rsidRPr="00AC1929">
        <w:rPr>
          <w:rFonts w:ascii="Times New Roman" w:hAnsi="Times New Roman"/>
          <w:sz w:val="28"/>
          <w:szCs w:val="28"/>
        </w:rPr>
        <w:t xml:space="preserve">данным авансам» составила 7115,3 </w:t>
      </w:r>
      <w:proofErr w:type="spellStart"/>
      <w:r w:rsidR="0054595B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4595B" w:rsidRPr="00AC1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595B" w:rsidRPr="00AC1929">
        <w:rPr>
          <w:rFonts w:ascii="Times New Roman" w:hAnsi="Times New Roman"/>
          <w:sz w:val="28"/>
          <w:szCs w:val="28"/>
        </w:rPr>
        <w:t>( +</w:t>
      </w:r>
      <w:proofErr w:type="gramEnd"/>
      <w:r w:rsidR="0054595B" w:rsidRPr="00AC1929">
        <w:rPr>
          <w:rFonts w:ascii="Times New Roman" w:hAnsi="Times New Roman"/>
          <w:sz w:val="28"/>
          <w:szCs w:val="28"/>
        </w:rPr>
        <w:t xml:space="preserve"> 5260,4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-задолженность по счету 120800000 «Расчеты с </w:t>
      </w:r>
      <w:r w:rsidR="0054595B" w:rsidRPr="00AC1929">
        <w:rPr>
          <w:rFonts w:ascii="Times New Roman" w:hAnsi="Times New Roman"/>
          <w:sz w:val="28"/>
          <w:szCs w:val="28"/>
        </w:rPr>
        <w:t xml:space="preserve">подотчетными лицами» - 0,8 </w:t>
      </w:r>
      <w:proofErr w:type="spellStart"/>
      <w:r w:rsidR="0054595B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; 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-задолженность по счету 120900000 «Расчеты по ущербу и иным доходам» </w:t>
      </w:r>
      <w:r w:rsidR="0054595B" w:rsidRPr="00AC1929">
        <w:rPr>
          <w:rFonts w:ascii="Times New Roman" w:hAnsi="Times New Roman"/>
          <w:sz w:val="28"/>
          <w:szCs w:val="28"/>
        </w:rPr>
        <w:t>з</w:t>
      </w:r>
      <w:r w:rsidR="00F03F09" w:rsidRPr="00AC1929">
        <w:rPr>
          <w:rFonts w:ascii="Times New Roman" w:hAnsi="Times New Roman"/>
          <w:sz w:val="28"/>
          <w:szCs w:val="28"/>
        </w:rPr>
        <w:t>адолженность</w:t>
      </w:r>
      <w:r w:rsidR="0054595B" w:rsidRPr="00AC1929">
        <w:rPr>
          <w:rFonts w:ascii="Times New Roman" w:hAnsi="Times New Roman"/>
          <w:sz w:val="28"/>
          <w:szCs w:val="28"/>
        </w:rPr>
        <w:t xml:space="preserve"> отсутствует</w:t>
      </w:r>
      <w:r w:rsidRPr="00AC1929">
        <w:rPr>
          <w:rFonts w:ascii="Times New Roman" w:hAnsi="Times New Roman"/>
          <w:sz w:val="28"/>
          <w:szCs w:val="28"/>
        </w:rPr>
        <w:t>;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-задолженность по счету 130300000 «Расчеты по плат</w:t>
      </w:r>
      <w:r w:rsidR="0054595B" w:rsidRPr="00AC1929">
        <w:rPr>
          <w:rFonts w:ascii="Times New Roman" w:hAnsi="Times New Roman"/>
          <w:sz w:val="28"/>
          <w:szCs w:val="28"/>
        </w:rPr>
        <w:t xml:space="preserve">ежам в бюджеты» составила 103,5 </w:t>
      </w:r>
      <w:proofErr w:type="spellStart"/>
      <w:r w:rsidR="0054595B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4595B" w:rsidRPr="00AC1929">
        <w:rPr>
          <w:rFonts w:ascii="Times New Roman" w:hAnsi="Times New Roman"/>
          <w:sz w:val="28"/>
          <w:szCs w:val="28"/>
        </w:rPr>
        <w:t xml:space="preserve"> (+103,5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к началу года).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 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По данным годового отчета об исполнении бюджета МО просроченная дебитор</w:t>
      </w:r>
      <w:r w:rsidR="00F03F09" w:rsidRPr="00AC1929">
        <w:rPr>
          <w:rFonts w:ascii="Times New Roman" w:hAnsi="Times New Roman"/>
          <w:sz w:val="28"/>
          <w:szCs w:val="28"/>
        </w:rPr>
        <w:t xml:space="preserve">ская задолженность на 01.01.2020 года составляла 2611,3 </w:t>
      </w:r>
      <w:proofErr w:type="spellStart"/>
      <w:r w:rsidR="00F03F09" w:rsidRPr="00AC1929">
        <w:rPr>
          <w:rFonts w:ascii="Times New Roman" w:hAnsi="Times New Roman"/>
          <w:sz w:val="28"/>
          <w:szCs w:val="28"/>
        </w:rPr>
        <w:t>тыс.р</w:t>
      </w:r>
      <w:r w:rsidR="0054595B" w:rsidRPr="00AC1929">
        <w:rPr>
          <w:rFonts w:ascii="Times New Roman" w:hAnsi="Times New Roman"/>
          <w:sz w:val="28"/>
          <w:szCs w:val="28"/>
        </w:rPr>
        <w:t>ублей</w:t>
      </w:r>
      <w:proofErr w:type="spellEnd"/>
      <w:r w:rsidR="0054595B" w:rsidRPr="00AC1929">
        <w:rPr>
          <w:rFonts w:ascii="Times New Roman" w:hAnsi="Times New Roman"/>
          <w:sz w:val="28"/>
          <w:szCs w:val="28"/>
        </w:rPr>
        <w:t>. На 01.10</w:t>
      </w:r>
      <w:r w:rsidR="00F03F09" w:rsidRPr="00AC1929">
        <w:rPr>
          <w:rFonts w:ascii="Times New Roman" w:hAnsi="Times New Roman"/>
          <w:sz w:val="28"/>
          <w:szCs w:val="28"/>
        </w:rPr>
        <w:t>.2020</w:t>
      </w:r>
      <w:r w:rsidRPr="00AC1929">
        <w:rPr>
          <w:rFonts w:ascii="Times New Roman" w:hAnsi="Times New Roman"/>
          <w:sz w:val="28"/>
          <w:szCs w:val="28"/>
        </w:rPr>
        <w:t xml:space="preserve"> просроченная дебиторская за</w:t>
      </w:r>
      <w:r w:rsidR="0054595B" w:rsidRPr="00AC1929">
        <w:rPr>
          <w:rFonts w:ascii="Times New Roman" w:hAnsi="Times New Roman"/>
          <w:sz w:val="28"/>
          <w:szCs w:val="28"/>
        </w:rPr>
        <w:t>долженность 2342,7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595B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4595B" w:rsidRPr="00AC1929">
        <w:rPr>
          <w:rFonts w:ascii="Times New Roman" w:hAnsi="Times New Roman"/>
          <w:sz w:val="28"/>
          <w:szCs w:val="28"/>
        </w:rPr>
        <w:t>. Сокращение на 268,6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>, Просроченная задолженность сформировалась по счету 120500000 «Расчеты по доходам».</w:t>
      </w:r>
    </w:p>
    <w:p w:rsidR="0054595B" w:rsidRPr="00AC1929" w:rsidRDefault="0054595B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Согласно сведений ф. 0503169 кредиторская задолженность (без учета внутренних долговых обязательств) по бюджетной </w:t>
      </w:r>
      <w:r w:rsidR="00B50E6A" w:rsidRPr="00AC1929">
        <w:rPr>
          <w:rFonts w:ascii="Times New Roman" w:hAnsi="Times New Roman"/>
          <w:sz w:val="28"/>
          <w:szCs w:val="28"/>
        </w:rPr>
        <w:t>деятельности за 9 месяцев 2020 года сократилась на 1769,5</w:t>
      </w:r>
      <w:r w:rsidRPr="00AC1929">
        <w:rPr>
          <w:rFonts w:ascii="Times New Roman" w:hAnsi="Times New Roman"/>
          <w:sz w:val="28"/>
          <w:szCs w:val="28"/>
        </w:rPr>
        <w:t xml:space="preserve"> тыс. рублей и сост</w:t>
      </w:r>
      <w:r w:rsidR="00AC1929" w:rsidRPr="00AC1929">
        <w:rPr>
          <w:rFonts w:ascii="Times New Roman" w:hAnsi="Times New Roman"/>
          <w:sz w:val="28"/>
          <w:szCs w:val="28"/>
        </w:rPr>
        <w:t>авила по состоянию на 01.10.2020 года 669,9</w:t>
      </w:r>
      <w:r w:rsidRPr="00AC1929">
        <w:rPr>
          <w:rFonts w:ascii="Times New Roman" w:hAnsi="Times New Roman"/>
          <w:sz w:val="28"/>
          <w:szCs w:val="28"/>
        </w:rPr>
        <w:t xml:space="preserve"> тыс. рублей. Задолженность является текущей.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lastRenderedPageBreak/>
        <w:t>Состояние кредитор</w:t>
      </w:r>
      <w:r w:rsidR="00F03F09" w:rsidRPr="00AC1929">
        <w:rPr>
          <w:rFonts w:ascii="Times New Roman" w:hAnsi="Times New Roman"/>
          <w:sz w:val="28"/>
          <w:szCs w:val="28"/>
        </w:rPr>
        <w:t>ской задолженности</w:t>
      </w:r>
      <w:r w:rsidR="00AC1929" w:rsidRPr="00AC1929">
        <w:rPr>
          <w:rFonts w:ascii="Times New Roman" w:hAnsi="Times New Roman"/>
          <w:sz w:val="28"/>
          <w:szCs w:val="28"/>
        </w:rPr>
        <w:t xml:space="preserve"> на 01.10</w:t>
      </w:r>
      <w:r w:rsidR="00F03F09" w:rsidRPr="00AC1929">
        <w:rPr>
          <w:rFonts w:ascii="Times New Roman" w:hAnsi="Times New Roman"/>
          <w:sz w:val="28"/>
          <w:szCs w:val="28"/>
        </w:rPr>
        <w:t>.2020</w:t>
      </w:r>
      <w:r w:rsidRPr="00AC1929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  -задолженность перед подотчетными лицами (счет 120800000 «Расчеты с подотчет</w:t>
      </w:r>
      <w:r w:rsidR="00F03F09" w:rsidRPr="00AC1929">
        <w:rPr>
          <w:rFonts w:ascii="Times New Roman" w:hAnsi="Times New Roman"/>
          <w:sz w:val="28"/>
          <w:szCs w:val="28"/>
        </w:rPr>
        <w:t>ными лицами») отсутствует ( -2,2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-задолженность перед поставщиками и подрядчиками (счет 130200000 «Расчеты с поставщ</w:t>
      </w:r>
      <w:r w:rsidR="00F03F09" w:rsidRPr="00AC1929">
        <w:rPr>
          <w:rFonts w:ascii="Times New Roman" w:hAnsi="Times New Roman"/>
          <w:sz w:val="28"/>
          <w:szCs w:val="28"/>
        </w:rPr>
        <w:t xml:space="preserve">иками и подрядчиками») сократилась на </w:t>
      </w:r>
      <w:proofErr w:type="gramStart"/>
      <w:r w:rsidR="00F03F09" w:rsidRPr="00AC1929">
        <w:rPr>
          <w:rFonts w:ascii="Times New Roman" w:hAnsi="Times New Roman"/>
          <w:sz w:val="28"/>
          <w:szCs w:val="28"/>
        </w:rPr>
        <w:t>1</w:t>
      </w:r>
      <w:r w:rsidR="00AC1929" w:rsidRPr="00AC1929">
        <w:rPr>
          <w:rFonts w:ascii="Times New Roman" w:hAnsi="Times New Roman"/>
          <w:sz w:val="28"/>
          <w:szCs w:val="28"/>
        </w:rPr>
        <w:t>912,1</w:t>
      </w:r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gramEnd"/>
      <w:r w:rsidRPr="00AC1929">
        <w:rPr>
          <w:rFonts w:ascii="Times New Roman" w:hAnsi="Times New Roman"/>
          <w:sz w:val="28"/>
          <w:szCs w:val="28"/>
        </w:rPr>
        <w:t xml:space="preserve"> и составила на</w:t>
      </w:r>
      <w:r w:rsidR="00AC1929" w:rsidRPr="00AC1929">
        <w:rPr>
          <w:rFonts w:ascii="Times New Roman" w:hAnsi="Times New Roman"/>
          <w:sz w:val="28"/>
          <w:szCs w:val="28"/>
        </w:rPr>
        <w:t xml:space="preserve"> конец отчетного периода 525,1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. 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-задолженность по платежам перед бюджетами (счет 130300000 «Расчеты по платежам в бюджеты») составила </w:t>
      </w:r>
      <w:r w:rsidR="00AC1929" w:rsidRPr="00AC1929">
        <w:rPr>
          <w:rFonts w:ascii="Times New Roman" w:hAnsi="Times New Roman"/>
          <w:sz w:val="28"/>
          <w:szCs w:val="28"/>
        </w:rPr>
        <w:t>на конец отчетного периода 108,5</w:t>
      </w:r>
      <w:r w:rsidR="004F603D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929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C1929" w:rsidRPr="00AC1929">
        <w:rPr>
          <w:rFonts w:ascii="Times New Roman" w:hAnsi="Times New Roman"/>
          <w:sz w:val="28"/>
          <w:szCs w:val="28"/>
        </w:rPr>
        <w:t>, что на 108,5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больше начала года.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          -задолженность перед прочими кредиторами (счет 130400000 «Расчеты с прочими кредиторами») на конец </w:t>
      </w:r>
      <w:r w:rsidR="00AC1929" w:rsidRPr="00AC1929">
        <w:rPr>
          <w:rFonts w:ascii="Times New Roman" w:hAnsi="Times New Roman"/>
          <w:sz w:val="28"/>
          <w:szCs w:val="28"/>
        </w:rPr>
        <w:t xml:space="preserve">отчетного периода составила 36,4 </w:t>
      </w:r>
      <w:proofErr w:type="spellStart"/>
      <w:r w:rsidR="00AC1929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C1929" w:rsidRPr="00AC1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1929" w:rsidRPr="00AC1929">
        <w:rPr>
          <w:rFonts w:ascii="Times New Roman" w:hAnsi="Times New Roman"/>
          <w:sz w:val="28"/>
          <w:szCs w:val="28"/>
        </w:rPr>
        <w:t>( рост</w:t>
      </w:r>
      <w:proofErr w:type="gramEnd"/>
      <w:r w:rsidR="00AC1929" w:rsidRPr="00AC1929">
        <w:rPr>
          <w:rFonts w:ascii="Times New Roman" w:hAnsi="Times New Roman"/>
          <w:sz w:val="28"/>
          <w:szCs w:val="28"/>
        </w:rPr>
        <w:t xml:space="preserve"> на 36,4</w:t>
      </w:r>
      <w:r w:rsidRPr="00AC19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к началу года).</w:t>
      </w:r>
    </w:p>
    <w:p w:rsidR="00AC1929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1929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З</w:t>
      </w:r>
      <w:r w:rsidRPr="00AC1929">
        <w:rPr>
          <w:rFonts w:ascii="Times New Roman" w:hAnsi="Times New Roman"/>
          <w:sz w:val="28"/>
          <w:szCs w:val="28"/>
        </w:rPr>
        <w:t>адолженность по доходам (счет 120500000 «Расче</w:t>
      </w:r>
      <w:r w:rsidRPr="00AC1929">
        <w:rPr>
          <w:rFonts w:ascii="Times New Roman" w:hAnsi="Times New Roman"/>
          <w:sz w:val="28"/>
          <w:szCs w:val="28"/>
        </w:rPr>
        <w:t>ты по доходам») составила 3187,1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(главный администратор доходов – Администрация муниципального образования «Город Вытегра»). Сокращение к нач</w:t>
      </w:r>
      <w:r w:rsidRPr="00AC1929">
        <w:rPr>
          <w:rFonts w:ascii="Times New Roman" w:hAnsi="Times New Roman"/>
          <w:sz w:val="28"/>
          <w:szCs w:val="28"/>
        </w:rPr>
        <w:t>алу года составил 1046,7</w:t>
      </w:r>
      <w:r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</w:rPr>
        <w:t>;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2C94" w:rsidRPr="00AC1929" w:rsidRDefault="004F603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По </w:t>
      </w:r>
      <w:r w:rsidR="00AC1929" w:rsidRPr="00AC1929">
        <w:rPr>
          <w:rFonts w:ascii="Times New Roman" w:hAnsi="Times New Roman"/>
          <w:sz w:val="28"/>
          <w:szCs w:val="28"/>
        </w:rPr>
        <w:t>состоянию на 01.10</w:t>
      </w:r>
      <w:r w:rsidRPr="00AC1929">
        <w:rPr>
          <w:rFonts w:ascii="Times New Roman" w:hAnsi="Times New Roman"/>
          <w:sz w:val="28"/>
          <w:szCs w:val="28"/>
        </w:rPr>
        <w:t>.2020</w:t>
      </w:r>
      <w:r w:rsidR="00682C94" w:rsidRPr="00AC1929">
        <w:rPr>
          <w:rFonts w:ascii="Times New Roman" w:hAnsi="Times New Roman"/>
          <w:sz w:val="28"/>
          <w:szCs w:val="28"/>
        </w:rPr>
        <w:t xml:space="preserve"> года главными распорядителями бюджетных средств и муниципальными учреждениями </w:t>
      </w:r>
      <w:r w:rsidRPr="00AC1929">
        <w:rPr>
          <w:rFonts w:ascii="Times New Roman" w:hAnsi="Times New Roman"/>
          <w:sz w:val="28"/>
          <w:szCs w:val="28"/>
        </w:rPr>
        <w:t xml:space="preserve">не </w:t>
      </w:r>
      <w:r w:rsidR="00682C94" w:rsidRPr="00AC1929">
        <w:rPr>
          <w:rFonts w:ascii="Times New Roman" w:hAnsi="Times New Roman"/>
          <w:sz w:val="28"/>
          <w:szCs w:val="28"/>
        </w:rPr>
        <w:t>было допущено образование просроче</w:t>
      </w:r>
      <w:r w:rsidRPr="00AC1929">
        <w:rPr>
          <w:rFonts w:ascii="Times New Roman" w:hAnsi="Times New Roman"/>
          <w:sz w:val="28"/>
          <w:szCs w:val="28"/>
        </w:rPr>
        <w:t>нной кредиторской задолженности.</w:t>
      </w: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CA2" w:rsidRPr="00AC1929" w:rsidRDefault="00861CA2" w:rsidP="00AC19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192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AC1929" w:rsidRDefault="00F77CFB" w:rsidP="00AC19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3614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63CB" w:rsidRPr="00AC1929">
        <w:rPr>
          <w:rFonts w:ascii="Times New Roman" w:hAnsi="Times New Roman"/>
          <w:sz w:val="28"/>
          <w:szCs w:val="28"/>
        </w:rPr>
        <w:t>Отчет об</w:t>
      </w:r>
      <w:r w:rsidR="0028413C" w:rsidRPr="00AC1929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565DDB" w:rsidRPr="00AC1929">
        <w:rPr>
          <w:rFonts w:ascii="Times New Roman" w:hAnsi="Times New Roman"/>
          <w:sz w:val="28"/>
          <w:szCs w:val="28"/>
        </w:rPr>
        <w:t xml:space="preserve"> муниципального образования «Город Вытегра»</w:t>
      </w:r>
      <w:r w:rsidR="00BC63CB" w:rsidRPr="00AC1929">
        <w:rPr>
          <w:rFonts w:ascii="Times New Roman" w:hAnsi="Times New Roman"/>
          <w:sz w:val="28"/>
          <w:szCs w:val="28"/>
        </w:rPr>
        <w:t xml:space="preserve"> </w:t>
      </w:r>
      <w:r w:rsidRPr="00AC1929">
        <w:rPr>
          <w:rFonts w:ascii="Times New Roman" w:hAnsi="Times New Roman"/>
          <w:sz w:val="28"/>
          <w:szCs w:val="28"/>
        </w:rPr>
        <w:t>за 9 месяцев</w:t>
      </w:r>
      <w:r w:rsidR="005A0EE4" w:rsidRPr="00AC1929">
        <w:rPr>
          <w:rFonts w:ascii="Times New Roman" w:hAnsi="Times New Roman"/>
          <w:sz w:val="28"/>
          <w:szCs w:val="28"/>
        </w:rPr>
        <w:t xml:space="preserve"> 2020</w:t>
      </w:r>
      <w:r w:rsidR="00136CBA" w:rsidRPr="00AC1929">
        <w:rPr>
          <w:rFonts w:ascii="Times New Roman" w:hAnsi="Times New Roman"/>
          <w:sz w:val="28"/>
          <w:szCs w:val="28"/>
        </w:rPr>
        <w:t xml:space="preserve"> года </w:t>
      </w:r>
      <w:r w:rsidR="00565DDB" w:rsidRPr="00AC1929">
        <w:rPr>
          <w:rFonts w:ascii="Times New Roman" w:hAnsi="Times New Roman"/>
          <w:sz w:val="28"/>
          <w:szCs w:val="28"/>
        </w:rPr>
        <w:t>Администрацией представлен в Городской Совет</w:t>
      </w:r>
      <w:r w:rsidR="00FE1831" w:rsidRPr="00AC1929">
        <w:rPr>
          <w:rFonts w:ascii="Times New Roman" w:hAnsi="Times New Roman"/>
          <w:sz w:val="28"/>
          <w:szCs w:val="28"/>
        </w:rPr>
        <w:t xml:space="preserve"> </w:t>
      </w:r>
      <w:r w:rsidR="00565DDB" w:rsidRPr="00AC192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 w:rsidR="00FE1831" w:rsidRPr="00AC1929">
        <w:rPr>
          <w:rFonts w:ascii="Times New Roman" w:hAnsi="Times New Roman"/>
          <w:sz w:val="28"/>
          <w:szCs w:val="28"/>
        </w:rPr>
        <w:t>в соответствии с Положением «О б</w:t>
      </w:r>
      <w:r w:rsidR="00565DDB" w:rsidRPr="00AC1929">
        <w:rPr>
          <w:rFonts w:ascii="Times New Roman" w:hAnsi="Times New Roman"/>
          <w:sz w:val="28"/>
          <w:szCs w:val="28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AC192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="00565DDB" w:rsidRPr="00AC1929">
        <w:rPr>
          <w:rFonts w:ascii="Times New Roman" w:hAnsi="Times New Roman"/>
          <w:sz w:val="28"/>
          <w:szCs w:val="28"/>
          <w:lang w:eastAsia="ru-RU"/>
        </w:rPr>
        <w:t>Вытегра»</w:t>
      </w:r>
      <w:r w:rsidR="00E334EB" w:rsidRPr="00AC1929">
        <w:rPr>
          <w:rFonts w:ascii="Times New Roman" w:hAnsi="Times New Roman"/>
          <w:sz w:val="28"/>
          <w:szCs w:val="28"/>
        </w:rPr>
        <w:t xml:space="preserve">  </w:t>
      </w:r>
      <w:r w:rsidR="007240ED" w:rsidRPr="00AC1929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="007240ED" w:rsidRPr="00AC1929">
        <w:rPr>
          <w:rFonts w:ascii="Times New Roman" w:hAnsi="Times New Roman"/>
          <w:bCs/>
          <w:spacing w:val="-2"/>
          <w:sz w:val="28"/>
          <w:szCs w:val="28"/>
        </w:rPr>
        <w:t xml:space="preserve"> 27.12.2017</w:t>
      </w:r>
      <w:r w:rsidR="00E334EB" w:rsidRPr="00AC1929">
        <w:rPr>
          <w:rFonts w:ascii="Times New Roman" w:hAnsi="Times New Roman"/>
          <w:bCs/>
          <w:spacing w:val="-2"/>
          <w:sz w:val="28"/>
          <w:szCs w:val="28"/>
        </w:rPr>
        <w:t xml:space="preserve"> г.</w:t>
      </w:r>
      <w:r w:rsidR="00E334EB" w:rsidRPr="00AC1929">
        <w:rPr>
          <w:rFonts w:ascii="Times New Roman" w:hAnsi="Times New Roman"/>
          <w:sz w:val="28"/>
          <w:szCs w:val="28"/>
        </w:rPr>
        <w:t xml:space="preserve"> </w:t>
      </w:r>
      <w:r w:rsidR="00565DDB" w:rsidRPr="00AC1929">
        <w:rPr>
          <w:rFonts w:ascii="Times New Roman" w:hAnsi="Times New Roman"/>
          <w:sz w:val="28"/>
          <w:szCs w:val="28"/>
        </w:rPr>
        <w:t xml:space="preserve"> </w:t>
      </w:r>
      <w:r w:rsidR="007240ED" w:rsidRPr="00AC1929">
        <w:rPr>
          <w:rFonts w:ascii="Times New Roman" w:hAnsi="Times New Roman"/>
          <w:bCs/>
          <w:spacing w:val="-2"/>
          <w:sz w:val="28"/>
          <w:szCs w:val="28"/>
        </w:rPr>
        <w:t>№ 44.</w:t>
      </w:r>
    </w:p>
    <w:p w:rsidR="00CD0A2A" w:rsidRPr="002144C6" w:rsidRDefault="00AC1929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3614" w:rsidRPr="00AC1929">
        <w:rPr>
          <w:rFonts w:ascii="Times New Roman" w:hAnsi="Times New Roman"/>
          <w:sz w:val="28"/>
          <w:szCs w:val="28"/>
        </w:rPr>
        <w:t>Согласно проведенного анализ</w:t>
      </w:r>
      <w:r w:rsidR="00E334EB" w:rsidRPr="00AC1929">
        <w:rPr>
          <w:rFonts w:ascii="Times New Roman" w:hAnsi="Times New Roman"/>
          <w:sz w:val="28"/>
          <w:szCs w:val="28"/>
        </w:rPr>
        <w:t>а исполнение бюджета МО на 01.</w:t>
      </w:r>
      <w:r w:rsidRPr="00AC1929">
        <w:rPr>
          <w:rFonts w:ascii="Times New Roman" w:hAnsi="Times New Roman"/>
          <w:sz w:val="28"/>
          <w:szCs w:val="28"/>
        </w:rPr>
        <w:t>10</w:t>
      </w:r>
      <w:r w:rsidR="005A0EE4" w:rsidRPr="00AC1929">
        <w:rPr>
          <w:rFonts w:ascii="Times New Roman" w:hAnsi="Times New Roman"/>
          <w:sz w:val="28"/>
          <w:szCs w:val="28"/>
        </w:rPr>
        <w:t>.2020</w:t>
      </w:r>
      <w:r w:rsidR="002C3614" w:rsidRPr="00AC1929">
        <w:rPr>
          <w:rFonts w:ascii="Times New Roman" w:hAnsi="Times New Roman"/>
          <w:sz w:val="28"/>
          <w:szCs w:val="28"/>
        </w:rPr>
        <w:t xml:space="preserve"> года </w:t>
      </w:r>
      <w:r w:rsidR="00734D35" w:rsidRPr="00AC1929">
        <w:rPr>
          <w:rFonts w:ascii="Times New Roman" w:hAnsi="Times New Roman"/>
          <w:sz w:val="28"/>
          <w:szCs w:val="28"/>
        </w:rPr>
        <w:t xml:space="preserve">по </w:t>
      </w:r>
      <w:r w:rsidR="00E45467" w:rsidRPr="00AC1929">
        <w:rPr>
          <w:rFonts w:ascii="Times New Roman" w:hAnsi="Times New Roman"/>
          <w:sz w:val="28"/>
          <w:szCs w:val="28"/>
        </w:rPr>
        <w:t>дохо</w:t>
      </w:r>
      <w:r w:rsidRPr="00AC1929">
        <w:rPr>
          <w:rFonts w:ascii="Times New Roman" w:hAnsi="Times New Roman"/>
          <w:sz w:val="28"/>
          <w:szCs w:val="28"/>
        </w:rPr>
        <w:t>дам составило 53206,6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614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C3614" w:rsidRPr="00AC1929">
        <w:rPr>
          <w:rFonts w:ascii="Times New Roman" w:hAnsi="Times New Roman"/>
          <w:sz w:val="28"/>
          <w:szCs w:val="28"/>
        </w:rPr>
        <w:t>, по расходам</w:t>
      </w:r>
      <w:r w:rsidRPr="00AC1929">
        <w:rPr>
          <w:rFonts w:ascii="Times New Roman" w:hAnsi="Times New Roman"/>
          <w:sz w:val="28"/>
          <w:szCs w:val="28"/>
        </w:rPr>
        <w:t xml:space="preserve"> 29143,3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614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C3614" w:rsidRPr="00AC1929">
        <w:rPr>
          <w:rFonts w:ascii="Times New Roman" w:hAnsi="Times New Roman"/>
          <w:sz w:val="28"/>
          <w:szCs w:val="28"/>
        </w:rPr>
        <w:t>. В результате исполнения</w:t>
      </w:r>
      <w:r w:rsidR="002E26A0" w:rsidRPr="00AC1929">
        <w:rPr>
          <w:rFonts w:ascii="Times New Roman" w:hAnsi="Times New Roman"/>
          <w:sz w:val="28"/>
          <w:szCs w:val="28"/>
        </w:rPr>
        <w:t xml:space="preserve"> бюджета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r w:rsidRPr="00AC1929">
        <w:rPr>
          <w:rFonts w:ascii="Times New Roman" w:hAnsi="Times New Roman"/>
          <w:sz w:val="28"/>
          <w:szCs w:val="28"/>
        </w:rPr>
        <w:t>за 9 месяцев</w:t>
      </w:r>
      <w:r w:rsidR="005A0EE4" w:rsidRPr="00AC1929">
        <w:rPr>
          <w:rFonts w:ascii="Times New Roman" w:hAnsi="Times New Roman"/>
          <w:sz w:val="28"/>
          <w:szCs w:val="28"/>
        </w:rPr>
        <w:t xml:space="preserve"> 2020</w:t>
      </w:r>
      <w:r w:rsidR="00734D35" w:rsidRPr="00AC1929">
        <w:rPr>
          <w:rFonts w:ascii="Times New Roman" w:hAnsi="Times New Roman"/>
          <w:sz w:val="28"/>
          <w:szCs w:val="28"/>
        </w:rPr>
        <w:t xml:space="preserve"> года</w:t>
      </w:r>
      <w:r w:rsidR="002C3614" w:rsidRPr="00AC1929">
        <w:rPr>
          <w:rFonts w:ascii="Times New Roman" w:hAnsi="Times New Roman"/>
          <w:sz w:val="28"/>
          <w:szCs w:val="28"/>
        </w:rPr>
        <w:t xml:space="preserve"> сфор</w:t>
      </w:r>
      <w:r w:rsidR="00C07930" w:rsidRPr="00AC1929">
        <w:rPr>
          <w:rFonts w:ascii="Times New Roman" w:hAnsi="Times New Roman"/>
          <w:sz w:val="28"/>
          <w:szCs w:val="28"/>
        </w:rPr>
        <w:t>мировалс</w:t>
      </w:r>
      <w:r w:rsidR="007240ED" w:rsidRPr="00AC1929">
        <w:rPr>
          <w:rFonts w:ascii="Times New Roman" w:hAnsi="Times New Roman"/>
          <w:sz w:val="28"/>
          <w:szCs w:val="28"/>
        </w:rPr>
        <w:t xml:space="preserve">я </w:t>
      </w:r>
      <w:r w:rsidRPr="00AC1929">
        <w:rPr>
          <w:rFonts w:ascii="Times New Roman" w:hAnsi="Times New Roman"/>
          <w:sz w:val="28"/>
          <w:szCs w:val="28"/>
        </w:rPr>
        <w:t>профицит бюджета в сумме 24063,3</w:t>
      </w:r>
      <w:r w:rsidR="00527516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516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27516" w:rsidRPr="00AC1929">
        <w:rPr>
          <w:rFonts w:ascii="Times New Roman" w:hAnsi="Times New Roman"/>
          <w:sz w:val="28"/>
          <w:szCs w:val="28"/>
        </w:rPr>
        <w:t xml:space="preserve">. 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r w:rsidR="004F603D" w:rsidRPr="00AC1929">
        <w:rPr>
          <w:rFonts w:ascii="Times New Roman" w:hAnsi="Times New Roman"/>
          <w:sz w:val="28"/>
          <w:szCs w:val="28"/>
        </w:rPr>
        <w:t>Объем де</w:t>
      </w:r>
      <w:r w:rsidRPr="00AC1929">
        <w:rPr>
          <w:rFonts w:ascii="Times New Roman" w:hAnsi="Times New Roman"/>
          <w:sz w:val="28"/>
          <w:szCs w:val="28"/>
        </w:rPr>
        <w:t>биторской задолженности на 01.10.2020 года составил – 24632,6</w:t>
      </w:r>
      <w:r w:rsidR="004F603D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603D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F603D" w:rsidRPr="00AC1929">
        <w:rPr>
          <w:rFonts w:ascii="Times New Roman" w:hAnsi="Times New Roman"/>
          <w:sz w:val="28"/>
          <w:szCs w:val="28"/>
        </w:rPr>
        <w:t>, объем кре</w:t>
      </w:r>
      <w:r w:rsidRPr="00AC1929">
        <w:rPr>
          <w:rFonts w:ascii="Times New Roman" w:hAnsi="Times New Roman"/>
          <w:sz w:val="28"/>
          <w:szCs w:val="28"/>
        </w:rPr>
        <w:t>диторской задолженности – 3857,0</w:t>
      </w:r>
      <w:r w:rsidR="004F603D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603D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F603D" w:rsidRPr="00AC1929">
        <w:rPr>
          <w:rFonts w:ascii="Times New Roman" w:hAnsi="Times New Roman"/>
          <w:sz w:val="28"/>
          <w:szCs w:val="28"/>
        </w:rPr>
        <w:t>.</w:t>
      </w:r>
    </w:p>
    <w:p w:rsidR="00861CA2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3ABD" w:rsidRPr="00AC1929">
        <w:rPr>
          <w:rFonts w:ascii="Times New Roman" w:hAnsi="Times New Roman"/>
          <w:sz w:val="28"/>
          <w:szCs w:val="28"/>
          <w:lang w:eastAsia="ru-RU"/>
        </w:rPr>
        <w:t>Ревиз</w:t>
      </w:r>
      <w:r w:rsidR="005D1791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117B3E" w:rsidRPr="00AC1929">
        <w:rPr>
          <w:rFonts w:ascii="Times New Roman" w:hAnsi="Times New Roman"/>
          <w:sz w:val="28"/>
          <w:szCs w:val="28"/>
          <w:lang w:eastAsia="ru-RU"/>
        </w:rPr>
        <w:t>онная комиссия ВМР рекомендует</w:t>
      </w:r>
      <w:r w:rsidR="00114EF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614" w:rsidRPr="00AC1929">
        <w:rPr>
          <w:rFonts w:ascii="Times New Roman" w:hAnsi="Times New Roman"/>
          <w:sz w:val="28"/>
          <w:szCs w:val="28"/>
          <w:lang w:eastAsia="ru-RU"/>
        </w:rPr>
        <w:t>отчет об испо</w:t>
      </w:r>
      <w:r w:rsidR="00AF492A" w:rsidRPr="00AC1929">
        <w:rPr>
          <w:rFonts w:ascii="Times New Roman" w:hAnsi="Times New Roman"/>
          <w:sz w:val="28"/>
          <w:szCs w:val="28"/>
          <w:lang w:eastAsia="ru-RU"/>
        </w:rPr>
        <w:t xml:space="preserve">лнении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 МО за 9 месяцев</w:t>
      </w:r>
      <w:r w:rsidR="005A0EE4" w:rsidRPr="00AC1929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1791" w:rsidRPr="00AC1929">
        <w:rPr>
          <w:rFonts w:ascii="Times New Roman" w:hAnsi="Times New Roman"/>
          <w:sz w:val="28"/>
          <w:szCs w:val="28"/>
          <w:lang w:eastAsia="ru-RU"/>
        </w:rPr>
        <w:t>год</w:t>
      </w:r>
      <w:r w:rsidR="00B27D86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5D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5F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AA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FC9" w:rsidRPr="00AC1929">
        <w:rPr>
          <w:rFonts w:ascii="Times New Roman" w:hAnsi="Times New Roman"/>
          <w:sz w:val="28"/>
          <w:szCs w:val="28"/>
          <w:lang w:eastAsia="ru-RU"/>
        </w:rPr>
        <w:t>к рассмотрению</w:t>
      </w:r>
      <w:r w:rsidR="005C45FD" w:rsidRPr="00AC192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114EF3" w:rsidRPr="00AC1929">
        <w:rPr>
          <w:rFonts w:ascii="Times New Roman" w:hAnsi="Times New Roman"/>
          <w:sz w:val="28"/>
          <w:szCs w:val="28"/>
          <w:lang w:eastAsia="ru-RU"/>
        </w:rPr>
        <w:t>учетом подготовленного анализа.</w:t>
      </w:r>
    </w:p>
    <w:p w:rsidR="005A0EE4" w:rsidRDefault="005A0EE4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4C6" w:rsidRPr="00AC1929" w:rsidRDefault="002144C6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6CBA"/>
    <w:rsid w:val="00141720"/>
    <w:rsid w:val="00146FEB"/>
    <w:rsid w:val="00156D62"/>
    <w:rsid w:val="00162774"/>
    <w:rsid w:val="001667D4"/>
    <w:rsid w:val="00170080"/>
    <w:rsid w:val="00171DEB"/>
    <w:rsid w:val="00180DBC"/>
    <w:rsid w:val="00187A6B"/>
    <w:rsid w:val="00195629"/>
    <w:rsid w:val="001A0468"/>
    <w:rsid w:val="001A42DB"/>
    <w:rsid w:val="001A4C1B"/>
    <w:rsid w:val="001B25E5"/>
    <w:rsid w:val="001B63F8"/>
    <w:rsid w:val="001D7054"/>
    <w:rsid w:val="001D73B4"/>
    <w:rsid w:val="001E3CB5"/>
    <w:rsid w:val="001F1BB1"/>
    <w:rsid w:val="00201145"/>
    <w:rsid w:val="002024EC"/>
    <w:rsid w:val="002144C6"/>
    <w:rsid w:val="00221947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6F24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607A9"/>
    <w:rsid w:val="00565DDB"/>
    <w:rsid w:val="0056642E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1791"/>
    <w:rsid w:val="005D39E8"/>
    <w:rsid w:val="005E1F99"/>
    <w:rsid w:val="005E4287"/>
    <w:rsid w:val="005E4DC5"/>
    <w:rsid w:val="005E7EFE"/>
    <w:rsid w:val="005F5C75"/>
    <w:rsid w:val="005F6B85"/>
    <w:rsid w:val="006043E9"/>
    <w:rsid w:val="00605237"/>
    <w:rsid w:val="0060798E"/>
    <w:rsid w:val="00610BFA"/>
    <w:rsid w:val="00620268"/>
    <w:rsid w:val="0062070E"/>
    <w:rsid w:val="006315E2"/>
    <w:rsid w:val="00637CE3"/>
    <w:rsid w:val="00640724"/>
    <w:rsid w:val="00645C16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92D62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257A3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B7804"/>
    <w:rsid w:val="008C2F74"/>
    <w:rsid w:val="008D25C8"/>
    <w:rsid w:val="008E09E1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6B7F"/>
    <w:rsid w:val="00937518"/>
    <w:rsid w:val="009375C2"/>
    <w:rsid w:val="00941423"/>
    <w:rsid w:val="00941765"/>
    <w:rsid w:val="00945BE5"/>
    <w:rsid w:val="00951C5F"/>
    <w:rsid w:val="009567C9"/>
    <w:rsid w:val="0098049E"/>
    <w:rsid w:val="00983247"/>
    <w:rsid w:val="00983276"/>
    <w:rsid w:val="00983F25"/>
    <w:rsid w:val="009909D4"/>
    <w:rsid w:val="009918B3"/>
    <w:rsid w:val="00992DA6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4209"/>
    <w:rsid w:val="00A572A7"/>
    <w:rsid w:val="00A6191F"/>
    <w:rsid w:val="00A66087"/>
    <w:rsid w:val="00A72E79"/>
    <w:rsid w:val="00A80E9D"/>
    <w:rsid w:val="00A83584"/>
    <w:rsid w:val="00A84C6C"/>
    <w:rsid w:val="00A90B0B"/>
    <w:rsid w:val="00A91F67"/>
    <w:rsid w:val="00AA0374"/>
    <w:rsid w:val="00AA300D"/>
    <w:rsid w:val="00AC1929"/>
    <w:rsid w:val="00AC1CAF"/>
    <w:rsid w:val="00AC3D0D"/>
    <w:rsid w:val="00AD4C36"/>
    <w:rsid w:val="00AD5457"/>
    <w:rsid w:val="00AD5F7F"/>
    <w:rsid w:val="00AE6324"/>
    <w:rsid w:val="00AF492A"/>
    <w:rsid w:val="00B00477"/>
    <w:rsid w:val="00B12E53"/>
    <w:rsid w:val="00B156F0"/>
    <w:rsid w:val="00B20D93"/>
    <w:rsid w:val="00B27D86"/>
    <w:rsid w:val="00B412D5"/>
    <w:rsid w:val="00B41754"/>
    <w:rsid w:val="00B50E6A"/>
    <w:rsid w:val="00B51178"/>
    <w:rsid w:val="00B534B4"/>
    <w:rsid w:val="00B64175"/>
    <w:rsid w:val="00B755E5"/>
    <w:rsid w:val="00B7789F"/>
    <w:rsid w:val="00B876FE"/>
    <w:rsid w:val="00B90F89"/>
    <w:rsid w:val="00B9131B"/>
    <w:rsid w:val="00B9456F"/>
    <w:rsid w:val="00B9466B"/>
    <w:rsid w:val="00BA1CA2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C04787"/>
    <w:rsid w:val="00C04AF4"/>
    <w:rsid w:val="00C07930"/>
    <w:rsid w:val="00C16088"/>
    <w:rsid w:val="00C16D2B"/>
    <w:rsid w:val="00C27FF3"/>
    <w:rsid w:val="00C3234F"/>
    <w:rsid w:val="00C338D6"/>
    <w:rsid w:val="00C427E9"/>
    <w:rsid w:val="00C65B6C"/>
    <w:rsid w:val="00C6697D"/>
    <w:rsid w:val="00C72DD4"/>
    <w:rsid w:val="00C823E3"/>
    <w:rsid w:val="00C879C4"/>
    <w:rsid w:val="00C93AEB"/>
    <w:rsid w:val="00C9509C"/>
    <w:rsid w:val="00CA0412"/>
    <w:rsid w:val="00CA6735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7AB0"/>
    <w:rsid w:val="00D1235A"/>
    <w:rsid w:val="00D208E0"/>
    <w:rsid w:val="00D21DEB"/>
    <w:rsid w:val="00D2360A"/>
    <w:rsid w:val="00D270F2"/>
    <w:rsid w:val="00D30644"/>
    <w:rsid w:val="00D31A8B"/>
    <w:rsid w:val="00D31D49"/>
    <w:rsid w:val="00D37B19"/>
    <w:rsid w:val="00D45C07"/>
    <w:rsid w:val="00D56B6F"/>
    <w:rsid w:val="00D5797B"/>
    <w:rsid w:val="00D57F4C"/>
    <w:rsid w:val="00D62C67"/>
    <w:rsid w:val="00D63F6C"/>
    <w:rsid w:val="00D71908"/>
    <w:rsid w:val="00D7515E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C774B"/>
    <w:rsid w:val="00DD22A0"/>
    <w:rsid w:val="00DD514E"/>
    <w:rsid w:val="00DD7862"/>
    <w:rsid w:val="00E00020"/>
    <w:rsid w:val="00E0070C"/>
    <w:rsid w:val="00E02957"/>
    <w:rsid w:val="00E02E93"/>
    <w:rsid w:val="00E13647"/>
    <w:rsid w:val="00E1603C"/>
    <w:rsid w:val="00E16D73"/>
    <w:rsid w:val="00E24034"/>
    <w:rsid w:val="00E3114F"/>
    <w:rsid w:val="00E31FAA"/>
    <w:rsid w:val="00E334EB"/>
    <w:rsid w:val="00E4161E"/>
    <w:rsid w:val="00E4177C"/>
    <w:rsid w:val="00E45467"/>
    <w:rsid w:val="00E61C93"/>
    <w:rsid w:val="00E67EE6"/>
    <w:rsid w:val="00E70966"/>
    <w:rsid w:val="00E711A9"/>
    <w:rsid w:val="00E72978"/>
    <w:rsid w:val="00E77F55"/>
    <w:rsid w:val="00E85F59"/>
    <w:rsid w:val="00E91B94"/>
    <w:rsid w:val="00E91BA9"/>
    <w:rsid w:val="00EA2826"/>
    <w:rsid w:val="00EA39A0"/>
    <w:rsid w:val="00EB0FF3"/>
    <w:rsid w:val="00EC2014"/>
    <w:rsid w:val="00EC54A0"/>
    <w:rsid w:val="00EC7690"/>
    <w:rsid w:val="00ED16C0"/>
    <w:rsid w:val="00ED23E6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3F09"/>
    <w:rsid w:val="00F175D9"/>
    <w:rsid w:val="00F20AF6"/>
    <w:rsid w:val="00F219CA"/>
    <w:rsid w:val="00F234F0"/>
    <w:rsid w:val="00F35A45"/>
    <w:rsid w:val="00F36167"/>
    <w:rsid w:val="00F47009"/>
    <w:rsid w:val="00F50C62"/>
    <w:rsid w:val="00F52254"/>
    <w:rsid w:val="00F5239F"/>
    <w:rsid w:val="00F5591E"/>
    <w:rsid w:val="00F609F5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A822-4F98-485C-A0B4-B68E7164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2019-08-02T08:05:00Z</cp:lastPrinted>
  <dcterms:created xsi:type="dcterms:W3CDTF">2020-11-06T07:54:00Z</dcterms:created>
  <dcterms:modified xsi:type="dcterms:W3CDTF">2020-11-06T07:54:00Z</dcterms:modified>
</cp:coreProperties>
</file>