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812806">
        <w:rPr>
          <w:rFonts w:ascii="Times New Roman" w:hAnsi="Times New Roman"/>
          <w:b/>
          <w:sz w:val="24"/>
          <w:szCs w:val="24"/>
        </w:rPr>
        <w:t xml:space="preserve"> за</w:t>
      </w:r>
      <w:proofErr w:type="gramEnd"/>
      <w:r w:rsidR="00812806">
        <w:rPr>
          <w:rFonts w:ascii="Times New Roman" w:hAnsi="Times New Roman"/>
          <w:b/>
          <w:sz w:val="24"/>
          <w:szCs w:val="24"/>
        </w:rPr>
        <w:t xml:space="preserve"> 1 полугодие</w:t>
      </w:r>
      <w:r w:rsidR="00306871">
        <w:rPr>
          <w:rFonts w:ascii="Times New Roman" w:hAnsi="Times New Roman"/>
          <w:b/>
          <w:sz w:val="24"/>
          <w:szCs w:val="24"/>
        </w:rPr>
        <w:t xml:space="preserve"> 2020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812806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29.07</w:t>
      </w:r>
      <w:r w:rsidR="00306871">
        <w:rPr>
          <w:rFonts w:ascii="Times New Roman" w:hAnsi="Times New Roman"/>
          <w:sz w:val="24"/>
          <w:szCs w:val="24"/>
        </w:rPr>
        <w:t>.2020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812806">
        <w:rPr>
          <w:rFonts w:ascii="Times New Roman" w:hAnsi="Times New Roman"/>
          <w:sz w:val="24"/>
          <w:szCs w:val="24"/>
        </w:rPr>
        <w:t>)  за</w:t>
      </w:r>
      <w:proofErr w:type="gramEnd"/>
      <w:r w:rsidR="00812806">
        <w:rPr>
          <w:rFonts w:ascii="Times New Roman" w:hAnsi="Times New Roman"/>
          <w:sz w:val="24"/>
          <w:szCs w:val="24"/>
        </w:rPr>
        <w:t xml:space="preserve"> 1 полугодие</w:t>
      </w:r>
      <w:r w:rsidR="00306871">
        <w:rPr>
          <w:rFonts w:ascii="Times New Roman" w:hAnsi="Times New Roman"/>
          <w:sz w:val="24"/>
          <w:szCs w:val="24"/>
        </w:rPr>
        <w:t xml:space="preserve"> 2020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5C45FD" w:rsidRPr="00E334EB" w:rsidRDefault="00BA764D" w:rsidP="002E623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334EB">
        <w:rPr>
          <w:rFonts w:ascii="Times New Roman" w:hAnsi="Times New Roman"/>
          <w:sz w:val="24"/>
          <w:szCs w:val="24"/>
          <w:lang w:eastAsia="ru-RU"/>
        </w:rPr>
        <w:t xml:space="preserve">данным 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4EB">
        <w:rPr>
          <w:rFonts w:ascii="Times New Roman" w:hAnsi="Times New Roman"/>
          <w:sz w:val="24"/>
          <w:szCs w:val="24"/>
          <w:lang w:eastAsia="ru-RU"/>
        </w:rPr>
        <w:t>отчёта</w:t>
      </w:r>
      <w:proofErr w:type="gramEnd"/>
      <w:r w:rsidRPr="00E334EB">
        <w:rPr>
          <w:rFonts w:ascii="Times New Roman" w:hAnsi="Times New Roman"/>
          <w:sz w:val="24"/>
          <w:szCs w:val="24"/>
          <w:lang w:eastAsia="ru-RU"/>
        </w:rPr>
        <w:t xml:space="preserve">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812806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162774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r w:rsidR="00812806">
        <w:rPr>
          <w:rFonts w:ascii="Times New Roman" w:hAnsi="Times New Roman"/>
          <w:sz w:val="24"/>
          <w:szCs w:val="24"/>
          <w:lang w:eastAsia="ru-RU"/>
        </w:rPr>
        <w:t>28.07</w:t>
      </w:r>
      <w:r w:rsidR="00306871">
        <w:rPr>
          <w:rFonts w:ascii="Times New Roman" w:hAnsi="Times New Roman"/>
          <w:sz w:val="24"/>
          <w:szCs w:val="24"/>
          <w:lang w:eastAsia="ru-RU"/>
        </w:rPr>
        <w:t>.2020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6B6A82" w:rsidRPr="00162774">
        <w:rPr>
          <w:rFonts w:ascii="Times New Roman" w:hAnsi="Times New Roman"/>
          <w:sz w:val="24"/>
          <w:szCs w:val="24"/>
          <w:lang w:eastAsia="ru-RU"/>
        </w:rPr>
        <w:t>№</w:t>
      </w:r>
      <w:r w:rsidR="00812806">
        <w:rPr>
          <w:rFonts w:ascii="Times New Roman" w:hAnsi="Times New Roman"/>
          <w:sz w:val="24"/>
          <w:szCs w:val="24"/>
          <w:lang w:eastAsia="ru-RU"/>
        </w:rPr>
        <w:t xml:space="preserve"> 292</w:t>
      </w:r>
      <w:r w:rsidR="00DD7862" w:rsidRPr="001627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>«Об исполнении бюджета муниципального образова</w:t>
      </w:r>
      <w:r w:rsidR="00586BA4" w:rsidRPr="007B2E48">
        <w:rPr>
          <w:rFonts w:ascii="Times New Roman" w:hAnsi="Times New Roman"/>
          <w:sz w:val="24"/>
          <w:szCs w:val="24"/>
          <w:lang w:eastAsia="ru-RU"/>
        </w:rPr>
        <w:t>ни</w:t>
      </w:r>
      <w:r w:rsidR="00812806">
        <w:rPr>
          <w:rFonts w:ascii="Times New Roman" w:hAnsi="Times New Roman"/>
          <w:sz w:val="24"/>
          <w:szCs w:val="24"/>
          <w:lang w:eastAsia="ru-RU"/>
        </w:rPr>
        <w:t>я «Город Вытегра» за 1 полугодие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7B2E48">
        <w:rPr>
          <w:rFonts w:ascii="Times New Roman" w:hAnsi="Times New Roman"/>
          <w:sz w:val="24"/>
          <w:szCs w:val="24"/>
          <w:lang w:eastAsia="ru-RU"/>
        </w:rPr>
        <w:t>.</w:t>
      </w:r>
      <w:r w:rsidR="00E334EB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806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на 2020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от 10.12.2019 года № 138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306871">
        <w:rPr>
          <w:rFonts w:ascii="Times New Roman" w:hAnsi="Times New Roman"/>
          <w:sz w:val="24"/>
          <w:szCs w:val="24"/>
          <w:lang w:eastAsia="ru-RU"/>
        </w:rPr>
        <w:t>2020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2021 и 2022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</w:t>
      </w:r>
      <w:r w:rsidR="00306871">
        <w:rPr>
          <w:rFonts w:ascii="Times New Roman" w:hAnsi="Times New Roman"/>
          <w:sz w:val="24"/>
          <w:szCs w:val="24"/>
          <w:lang w:eastAsia="ru-RU"/>
        </w:rPr>
        <w:t>ходам и расходам в сумме 46542,3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024E" w:rsidRDefault="00FA024E" w:rsidP="00FA024E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024E" w:rsidRDefault="00812806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A024E">
        <w:rPr>
          <w:rFonts w:ascii="Times New Roman" w:hAnsi="Times New Roman"/>
          <w:sz w:val="24"/>
          <w:szCs w:val="24"/>
          <w:lang w:eastAsia="ru-RU"/>
        </w:rPr>
        <w:t>10.12.2019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 138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FA024E">
        <w:rPr>
          <w:rFonts w:ascii="Times New Roman" w:hAnsi="Times New Roman"/>
          <w:sz w:val="24"/>
          <w:szCs w:val="24"/>
          <w:lang w:eastAsia="ru-RU"/>
        </w:rPr>
        <w:t>азования «Город Вытегра» на 2020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FA024E">
        <w:rPr>
          <w:rFonts w:ascii="Times New Roman" w:hAnsi="Times New Roman"/>
          <w:sz w:val="24"/>
          <w:szCs w:val="24"/>
          <w:lang w:eastAsia="ru-RU"/>
        </w:rPr>
        <w:t>плановый период 2021 и 2022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5607A9">
        <w:rPr>
          <w:rFonts w:ascii="Times New Roman" w:hAnsi="Times New Roman"/>
          <w:sz w:val="24"/>
          <w:szCs w:val="24"/>
          <w:lang w:eastAsia="ru-RU"/>
        </w:rPr>
        <w:t>»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024E">
        <w:rPr>
          <w:rFonts w:ascii="Times New Roman" w:hAnsi="Times New Roman"/>
          <w:sz w:val="24"/>
          <w:szCs w:val="24"/>
          <w:lang w:eastAsia="ru-RU"/>
        </w:rPr>
        <w:t>1</w:t>
      </w:r>
      <w:r w:rsidR="005C147A">
        <w:rPr>
          <w:rFonts w:ascii="Times New Roman" w:hAnsi="Times New Roman"/>
          <w:sz w:val="24"/>
          <w:szCs w:val="24"/>
          <w:lang w:eastAsia="ru-RU"/>
        </w:rPr>
        <w:t xml:space="preserve"> раз </w:t>
      </w:r>
      <w:r w:rsidR="005607A9">
        <w:rPr>
          <w:rFonts w:ascii="Times New Roman" w:hAnsi="Times New Roman"/>
          <w:sz w:val="24"/>
          <w:szCs w:val="24"/>
          <w:lang w:eastAsia="ru-RU"/>
        </w:rPr>
        <w:t>внесены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 изменения</w:t>
      </w:r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789F">
        <w:rPr>
          <w:rFonts w:ascii="Times New Roman" w:hAnsi="Times New Roman"/>
          <w:sz w:val="24"/>
          <w:szCs w:val="24"/>
          <w:lang w:eastAsia="ru-RU"/>
        </w:rPr>
        <w:t>В результате внесенных изменений плановый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 объем доходов составил 69471,6 </w:t>
      </w:r>
      <w:proofErr w:type="spellStart"/>
      <w:r w:rsidR="00FA02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A024E">
        <w:rPr>
          <w:rFonts w:ascii="Times New Roman" w:hAnsi="Times New Roman"/>
          <w:sz w:val="24"/>
          <w:szCs w:val="24"/>
          <w:lang w:eastAsia="ru-RU"/>
        </w:rPr>
        <w:t xml:space="preserve"> (+22929,3 </w:t>
      </w:r>
      <w:proofErr w:type="spellStart"/>
      <w:r w:rsidR="00FA02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A024E">
        <w:rPr>
          <w:rFonts w:ascii="Times New Roman" w:hAnsi="Times New Roman"/>
          <w:sz w:val="24"/>
          <w:szCs w:val="24"/>
          <w:lang w:eastAsia="ru-RU"/>
        </w:rPr>
        <w:t xml:space="preserve"> или на 49,3 процента</w:t>
      </w:r>
      <w:r w:rsidR="00B7789F">
        <w:rPr>
          <w:rFonts w:ascii="Times New Roman" w:hAnsi="Times New Roman"/>
          <w:sz w:val="24"/>
          <w:szCs w:val="24"/>
          <w:lang w:eastAsia="ru-RU"/>
        </w:rPr>
        <w:t>), плановые показатели расх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одов бюджета возросли на 24483,6 </w:t>
      </w:r>
      <w:proofErr w:type="spellStart"/>
      <w:r w:rsidR="00FA02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A024E">
        <w:rPr>
          <w:rFonts w:ascii="Times New Roman" w:hAnsi="Times New Roman"/>
          <w:sz w:val="24"/>
          <w:szCs w:val="24"/>
          <w:lang w:eastAsia="ru-RU"/>
        </w:rPr>
        <w:t xml:space="preserve"> или на 52,6 процента и составили 71025,9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7789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024E" w:rsidRDefault="00FA024E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A45EF1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E2403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FA024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FA024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E2403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A024E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26427,5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69471,6</w:t>
            </w:r>
          </w:p>
        </w:tc>
        <w:tc>
          <w:tcPr>
            <w:tcW w:w="1595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23326,6</w:t>
            </w:r>
          </w:p>
        </w:tc>
        <w:tc>
          <w:tcPr>
            <w:tcW w:w="1595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96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22602,3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71025,9</w:t>
            </w:r>
          </w:p>
        </w:tc>
        <w:tc>
          <w:tcPr>
            <w:tcW w:w="1595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17697,9</w:t>
            </w:r>
          </w:p>
        </w:tc>
        <w:tc>
          <w:tcPr>
            <w:tcW w:w="1595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596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3825,2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595" w:type="dxa"/>
          </w:tcPr>
          <w:p w:rsidR="00B90F89" w:rsidRPr="0028413C" w:rsidRDefault="00E2403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5628,7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607A9" w:rsidRPr="000C7670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247936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0C7670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0C767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E24034">
        <w:rPr>
          <w:rFonts w:ascii="Times New Roman" w:hAnsi="Times New Roman"/>
          <w:bCs/>
          <w:sz w:val="24"/>
          <w:szCs w:val="24"/>
          <w:lang w:eastAsia="ru-RU"/>
        </w:rPr>
        <w:t>23326,6</w:t>
      </w:r>
      <w:r w:rsidR="000D2915" w:rsidRPr="000C7670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E24034">
        <w:rPr>
          <w:rFonts w:ascii="Times New Roman" w:hAnsi="Times New Roman"/>
          <w:sz w:val="24"/>
          <w:szCs w:val="24"/>
          <w:lang w:eastAsia="ru-RU"/>
        </w:rPr>
        <w:t xml:space="preserve">33,6 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0C7670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0C7670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0C7670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034">
        <w:rPr>
          <w:rFonts w:ascii="Times New Roman" w:hAnsi="Times New Roman"/>
          <w:sz w:val="24"/>
          <w:szCs w:val="24"/>
          <w:lang w:eastAsia="ru-RU"/>
        </w:rPr>
        <w:t>88,3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0C7670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0C7670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0C7670">
        <w:rPr>
          <w:rFonts w:ascii="Times New Roman" w:hAnsi="Times New Roman"/>
          <w:sz w:val="24"/>
          <w:szCs w:val="24"/>
          <w:lang w:eastAsia="ru-RU"/>
        </w:rPr>
        <w:lastRenderedPageBreak/>
        <w:t>периода 2019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E24034">
        <w:rPr>
          <w:rFonts w:ascii="Times New Roman" w:hAnsi="Times New Roman"/>
          <w:sz w:val="24"/>
          <w:szCs w:val="24"/>
          <w:lang w:eastAsia="ru-RU"/>
        </w:rPr>
        <w:t>24,9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0C7670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E24034">
        <w:rPr>
          <w:rFonts w:ascii="Times New Roman" w:hAnsi="Times New Roman"/>
          <w:sz w:val="24"/>
          <w:szCs w:val="24"/>
          <w:lang w:eastAsia="ru-RU"/>
        </w:rPr>
        <w:t>17697,9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0C7670">
        <w:rPr>
          <w:rFonts w:ascii="Times New Roman" w:hAnsi="Times New Roman"/>
          <w:sz w:val="24"/>
          <w:szCs w:val="24"/>
          <w:lang w:eastAsia="ru-RU"/>
        </w:rPr>
        <w:t>(</w:t>
      </w:r>
      <w:r w:rsidR="00E24034">
        <w:rPr>
          <w:rFonts w:ascii="Times New Roman" w:hAnsi="Times New Roman"/>
          <w:sz w:val="24"/>
          <w:szCs w:val="24"/>
          <w:lang w:eastAsia="ru-RU"/>
        </w:rPr>
        <w:t>78,3</w:t>
      </w:r>
      <w:r w:rsidR="000C67A3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0C7670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0C7670">
        <w:rPr>
          <w:rFonts w:ascii="Times New Roman" w:hAnsi="Times New Roman"/>
          <w:sz w:val="24"/>
          <w:szCs w:val="24"/>
          <w:lang w:eastAsia="ru-RU"/>
        </w:rPr>
        <w:t>019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034">
        <w:rPr>
          <w:rFonts w:ascii="Times New Roman" w:hAnsi="Times New Roman"/>
          <w:sz w:val="24"/>
          <w:szCs w:val="24"/>
          <w:lang w:eastAsia="ru-RU"/>
        </w:rPr>
        <w:t>14592</w:t>
      </w:r>
      <w:proofErr w:type="gramEnd"/>
      <w:r w:rsidR="00E24034">
        <w:rPr>
          <w:rFonts w:ascii="Times New Roman" w:hAnsi="Times New Roman"/>
          <w:sz w:val="24"/>
          <w:szCs w:val="24"/>
          <w:lang w:eastAsia="ru-RU"/>
        </w:rPr>
        <w:t>,9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E24034">
        <w:rPr>
          <w:rFonts w:ascii="Times New Roman" w:hAnsi="Times New Roman"/>
          <w:sz w:val="24"/>
          <w:szCs w:val="24"/>
          <w:lang w:eastAsia="ru-RU"/>
        </w:rPr>
        <w:t>38,7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</w:t>
      </w:r>
      <w:r w:rsidR="000C7670">
        <w:rPr>
          <w:rFonts w:ascii="Times New Roman" w:hAnsi="Times New Roman"/>
          <w:sz w:val="24"/>
          <w:szCs w:val="24"/>
          <w:lang w:eastAsia="ru-RU"/>
        </w:rPr>
        <w:t>да 2019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года произош</w:t>
      </w:r>
      <w:r w:rsidR="00E24034">
        <w:rPr>
          <w:rFonts w:ascii="Times New Roman" w:hAnsi="Times New Roman"/>
          <w:sz w:val="24"/>
          <w:szCs w:val="24"/>
          <w:lang w:eastAsia="ru-RU"/>
        </w:rPr>
        <w:t>ло увеличение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3C31DB">
        <w:rPr>
          <w:rFonts w:ascii="Times New Roman" w:hAnsi="Times New Roman"/>
          <w:sz w:val="24"/>
          <w:szCs w:val="24"/>
          <w:lang w:eastAsia="ru-RU"/>
        </w:rPr>
        <w:t xml:space="preserve"> доходов н</w:t>
      </w:r>
      <w:r w:rsidR="00E24034">
        <w:rPr>
          <w:rFonts w:ascii="Times New Roman" w:hAnsi="Times New Roman"/>
          <w:sz w:val="24"/>
          <w:szCs w:val="24"/>
          <w:lang w:eastAsia="ru-RU"/>
        </w:rPr>
        <w:t>а 710,2</w:t>
      </w:r>
      <w:r w:rsidR="00A45EF1" w:rsidRPr="003C31DB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24034">
        <w:rPr>
          <w:rFonts w:ascii="Times New Roman" w:hAnsi="Times New Roman"/>
          <w:sz w:val="24"/>
          <w:szCs w:val="24"/>
          <w:lang w:eastAsia="ru-RU"/>
        </w:rPr>
        <w:t xml:space="preserve">+5,1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E24034">
        <w:rPr>
          <w:rFonts w:ascii="Times New Roman" w:hAnsi="Times New Roman"/>
          <w:sz w:val="24"/>
          <w:szCs w:val="24"/>
          <w:lang w:eastAsia="ru-RU"/>
        </w:rPr>
        <w:t>сформировался профицит бюджета МО в сумме 5628,7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664A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72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034">
        <w:rPr>
          <w:rFonts w:ascii="Times New Roman" w:hAnsi="Times New Roman"/>
          <w:sz w:val="24"/>
          <w:szCs w:val="24"/>
          <w:lang w:eastAsia="ru-RU"/>
        </w:rPr>
        <w:t xml:space="preserve"> по состоянию на 1 июля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2020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0C7670">
        <w:rPr>
          <w:rFonts w:ascii="Times New Roman" w:hAnsi="Times New Roman"/>
          <w:sz w:val="24"/>
          <w:szCs w:val="24"/>
          <w:lang w:eastAsia="ru-RU"/>
        </w:rPr>
        <w:t>с аналогичным периодом 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="000664A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E2403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C7670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2403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0C7670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26427,5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69471,6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23326,6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13882,7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37743,0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14592,9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12544,8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31728,6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8733,7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3524,2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5891,3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6667,4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5094,1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E0AF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E0AF6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9E0AF6">
        <w:rPr>
          <w:rFonts w:ascii="Times New Roman" w:hAnsi="Times New Roman"/>
          <w:sz w:val="24"/>
          <w:szCs w:val="24"/>
          <w:lang w:eastAsia="ru-RU"/>
        </w:rPr>
        <w:t>23326,6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9E0AF6">
        <w:rPr>
          <w:rFonts w:ascii="Times New Roman" w:hAnsi="Times New Roman"/>
          <w:sz w:val="24"/>
          <w:szCs w:val="24"/>
          <w:lang w:eastAsia="ru-RU"/>
        </w:rPr>
        <w:t>33,6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A52AE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и неналоговых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доходов составило </w:t>
      </w:r>
      <w:r w:rsidR="009E0AF6">
        <w:rPr>
          <w:rFonts w:ascii="Times New Roman" w:hAnsi="Times New Roman"/>
          <w:sz w:val="24"/>
          <w:szCs w:val="24"/>
          <w:lang w:eastAsia="ru-RU"/>
        </w:rPr>
        <w:t>14592,9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AF6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9E0AF6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9E0AF6">
        <w:rPr>
          <w:rFonts w:ascii="Times New Roman" w:hAnsi="Times New Roman"/>
          <w:sz w:val="24"/>
          <w:szCs w:val="24"/>
          <w:lang w:eastAsia="ru-RU"/>
        </w:rPr>
        <w:t xml:space="preserve"> 38,7</w:t>
      </w:r>
      <w:r w:rsidR="00AC3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0B47">
        <w:rPr>
          <w:rFonts w:ascii="Times New Roman" w:hAnsi="Times New Roman"/>
          <w:sz w:val="24"/>
          <w:szCs w:val="24"/>
          <w:lang w:eastAsia="ru-RU"/>
        </w:rPr>
        <w:t>%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от годовых показателей </w:t>
      </w:r>
      <w:r w:rsidR="00640724" w:rsidRPr="003C31D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E0AF6">
        <w:rPr>
          <w:rFonts w:ascii="Times New Roman" w:hAnsi="Times New Roman"/>
          <w:sz w:val="24"/>
          <w:szCs w:val="24"/>
          <w:lang w:eastAsia="ru-RU"/>
        </w:rPr>
        <w:t>62,6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2AE">
        <w:rPr>
          <w:rFonts w:ascii="Times New Roman" w:hAnsi="Times New Roman"/>
          <w:sz w:val="24"/>
          <w:szCs w:val="24"/>
          <w:lang w:eastAsia="ru-RU"/>
        </w:rPr>
        <w:t>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в общем объеме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поступивших доходов. </w:t>
      </w:r>
    </w:p>
    <w:p w:rsidR="002F71E8" w:rsidRPr="00440B47" w:rsidRDefault="009A52A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Налоговые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AF6">
        <w:rPr>
          <w:rFonts w:ascii="Times New Roman" w:hAnsi="Times New Roman"/>
          <w:sz w:val="24"/>
          <w:szCs w:val="24"/>
          <w:lang w:eastAsia="ru-RU"/>
        </w:rPr>
        <w:t>доходы поступили в сумме 12573,2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9E0AF6">
        <w:rPr>
          <w:rFonts w:ascii="Times New Roman" w:hAnsi="Times New Roman"/>
          <w:sz w:val="24"/>
          <w:szCs w:val="24"/>
          <w:lang w:eastAsia="ru-RU"/>
        </w:rPr>
        <w:t xml:space="preserve"> что составило 37,1</w:t>
      </w:r>
      <w:r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оцента от </w:t>
      </w:r>
      <w:r w:rsidR="009E0AF6">
        <w:rPr>
          <w:rFonts w:ascii="Times New Roman" w:hAnsi="Times New Roman"/>
          <w:sz w:val="24"/>
          <w:szCs w:val="24"/>
          <w:lang w:eastAsia="ru-RU"/>
        </w:rPr>
        <w:t>годового плана и 104,2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 Объем нал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оговых поступлений </w:t>
      </w:r>
      <w:r w:rsidR="00E77F55" w:rsidRPr="003C31DB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9E0AF6">
        <w:rPr>
          <w:rFonts w:ascii="Times New Roman" w:hAnsi="Times New Roman"/>
          <w:sz w:val="24"/>
          <w:szCs w:val="24"/>
          <w:lang w:eastAsia="ru-RU"/>
        </w:rPr>
        <w:t>86,2</w:t>
      </w:r>
      <w:r>
        <w:rPr>
          <w:rFonts w:ascii="Times New Roman" w:hAnsi="Times New Roman"/>
          <w:sz w:val="24"/>
          <w:szCs w:val="24"/>
          <w:lang w:eastAsia="ru-RU"/>
        </w:rPr>
        <w:t xml:space="preserve"> % от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оговых доходов </w:t>
      </w:r>
      <w:r w:rsidR="009E0AF6"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2020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AF6">
        <w:rPr>
          <w:rFonts w:ascii="Times New Roman" w:hAnsi="Times New Roman"/>
          <w:sz w:val="24"/>
          <w:szCs w:val="24"/>
          <w:lang w:eastAsia="ru-RU"/>
        </w:rPr>
        <w:t>2019,7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9E0AF6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9E0AF6">
        <w:rPr>
          <w:rFonts w:ascii="Times New Roman" w:hAnsi="Times New Roman"/>
          <w:sz w:val="24"/>
          <w:szCs w:val="24"/>
          <w:lang w:eastAsia="ru-RU"/>
        </w:rPr>
        <w:t>, или 51,9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% плановых </w:t>
      </w:r>
      <w:r w:rsidR="009E0AF6">
        <w:rPr>
          <w:rFonts w:ascii="Times New Roman" w:hAnsi="Times New Roman"/>
          <w:sz w:val="24"/>
          <w:szCs w:val="24"/>
          <w:lang w:eastAsia="ru-RU"/>
        </w:rPr>
        <w:t>назначений и 111,2</w:t>
      </w:r>
      <w:r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года.</w:t>
      </w:r>
    </w:p>
    <w:p w:rsidR="00640724" w:rsidRDefault="0064072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9E0AF6">
        <w:rPr>
          <w:rFonts w:ascii="Times New Roman" w:hAnsi="Times New Roman"/>
          <w:sz w:val="24"/>
          <w:szCs w:val="24"/>
          <w:lang w:eastAsia="ru-RU"/>
        </w:rPr>
        <w:t>43,5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9E0AF6">
        <w:rPr>
          <w:rFonts w:ascii="Times New Roman" w:hAnsi="Times New Roman"/>
          <w:sz w:val="24"/>
          <w:szCs w:val="24"/>
          <w:lang w:eastAsia="ru-RU"/>
        </w:rPr>
        <w:t>составил 10122,2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9E0AF6">
        <w:rPr>
          <w:rFonts w:ascii="Times New Roman" w:hAnsi="Times New Roman"/>
          <w:sz w:val="24"/>
          <w:szCs w:val="24"/>
          <w:lang w:eastAsia="ru-RU"/>
        </w:rPr>
        <w:t>ичным периодом 2019 года на 1,1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процентных пункта или на </w:t>
      </w:r>
      <w:r w:rsidR="009E0AF6">
        <w:rPr>
          <w:rFonts w:ascii="Times New Roman" w:hAnsi="Times New Roman"/>
          <w:sz w:val="24"/>
          <w:szCs w:val="24"/>
          <w:lang w:eastAsia="ru-RU"/>
        </w:rPr>
        <w:t xml:space="preserve">113,8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9E0AF6">
        <w:rPr>
          <w:rFonts w:ascii="Times New Roman" w:hAnsi="Times New Roman"/>
          <w:sz w:val="24"/>
          <w:szCs w:val="24"/>
          <w:lang w:eastAsia="ru-RU"/>
        </w:rPr>
        <w:t>43,1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E0AF6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671,9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 xml:space="preserve"> (меньше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739D7">
        <w:rPr>
          <w:rFonts w:ascii="Times New Roman" w:hAnsi="Times New Roman"/>
          <w:sz w:val="24"/>
          <w:szCs w:val="24"/>
          <w:lang w:eastAsia="ru-RU"/>
        </w:rPr>
        <w:t>51,9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</w:t>
      </w:r>
      <w:r w:rsidR="00640724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2019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-единый сельскохозяйств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енный налог </w:t>
      </w:r>
      <w:r w:rsidR="00E77F55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в бюджет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поступил в сумме 2,3 </w:t>
      </w:r>
      <w:proofErr w:type="spellStart"/>
      <w:r w:rsidR="00E77F5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>;</w:t>
      </w:r>
    </w:p>
    <w:p w:rsidR="00121445" w:rsidRDefault="00121445" w:rsidP="00E77F5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lastRenderedPageBreak/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6739D7">
        <w:rPr>
          <w:rFonts w:ascii="Times New Roman" w:hAnsi="Times New Roman"/>
          <w:sz w:val="24"/>
          <w:szCs w:val="24"/>
          <w:lang w:eastAsia="ru-RU"/>
        </w:rPr>
        <w:t>1776,8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6739D7">
        <w:rPr>
          <w:rFonts w:ascii="Times New Roman" w:hAnsi="Times New Roman"/>
          <w:sz w:val="24"/>
          <w:szCs w:val="24"/>
          <w:lang w:eastAsia="ru-RU"/>
        </w:rPr>
        <w:t>19,7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951C5F">
        <w:rPr>
          <w:rFonts w:ascii="Times New Roman" w:hAnsi="Times New Roman"/>
          <w:sz w:val="24"/>
          <w:szCs w:val="24"/>
          <w:lang w:eastAsia="ru-RU"/>
        </w:rPr>
        <w:t>мущество физических лиц – 535,4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1C5F">
        <w:rPr>
          <w:rFonts w:ascii="Times New Roman" w:hAnsi="Times New Roman"/>
          <w:sz w:val="24"/>
          <w:szCs w:val="24"/>
          <w:lang w:eastAsia="ru-RU"/>
        </w:rPr>
        <w:t>(исполнение 9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51C5F">
        <w:rPr>
          <w:rFonts w:ascii="Times New Roman" w:hAnsi="Times New Roman"/>
          <w:sz w:val="24"/>
          <w:szCs w:val="24"/>
          <w:lang w:eastAsia="ru-RU"/>
        </w:rPr>
        <w:t>), земельный налог – 1241,4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1C5F">
        <w:rPr>
          <w:rFonts w:ascii="Times New Roman" w:hAnsi="Times New Roman"/>
          <w:sz w:val="24"/>
          <w:szCs w:val="24"/>
          <w:lang w:eastAsia="ru-RU"/>
        </w:rPr>
        <w:t>39,8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8F">
        <w:rPr>
          <w:rFonts w:ascii="Times New Roman" w:hAnsi="Times New Roman"/>
          <w:sz w:val="24"/>
          <w:szCs w:val="24"/>
          <w:lang w:eastAsia="ru-RU"/>
        </w:rPr>
        <w:t>В общ</w:t>
      </w:r>
      <w:r w:rsidR="00951C5F">
        <w:rPr>
          <w:rFonts w:ascii="Times New Roman" w:hAnsi="Times New Roman"/>
          <w:sz w:val="24"/>
          <w:szCs w:val="24"/>
          <w:lang w:eastAsia="ru-RU"/>
        </w:rPr>
        <w:t>ей сумме земельного налога 1132,7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951C5F">
        <w:rPr>
          <w:rFonts w:ascii="Times New Roman" w:hAnsi="Times New Roman"/>
          <w:sz w:val="24"/>
          <w:szCs w:val="24"/>
          <w:lang w:eastAsia="ru-RU"/>
        </w:rPr>
        <w:t>от организаций (исполнение 75,5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8F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951C5F">
        <w:rPr>
          <w:rFonts w:ascii="Times New Roman" w:hAnsi="Times New Roman"/>
          <w:sz w:val="24"/>
          <w:szCs w:val="24"/>
          <w:lang w:eastAsia="ru-RU"/>
        </w:rPr>
        <w:t>), 108,7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налогов от физических лиц </w:t>
      </w:r>
      <w:proofErr w:type="gramStart"/>
      <w:r w:rsidR="00951C5F">
        <w:rPr>
          <w:rFonts w:ascii="Times New Roman" w:hAnsi="Times New Roman"/>
          <w:sz w:val="24"/>
          <w:szCs w:val="24"/>
          <w:lang w:eastAsia="ru-RU"/>
        </w:rPr>
        <w:t>( 6</w:t>
      </w:r>
      <w:proofErr w:type="gramEnd"/>
      <w:r w:rsidR="00951C5F">
        <w:rPr>
          <w:rFonts w:ascii="Times New Roman" w:hAnsi="Times New Roman"/>
          <w:sz w:val="24"/>
          <w:szCs w:val="24"/>
          <w:lang w:eastAsia="ru-RU"/>
        </w:rPr>
        <w:t>,7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% от плановых годовых назначений).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По сравнению с отчетным периодом прошлого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40724">
        <w:rPr>
          <w:rFonts w:ascii="Times New Roman" w:hAnsi="Times New Roman"/>
          <w:sz w:val="24"/>
          <w:szCs w:val="24"/>
          <w:lang w:eastAsia="ru-RU"/>
        </w:rPr>
        <w:t>2019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  года</w:t>
      </w:r>
      <w:proofErr w:type="gramEnd"/>
      <w:r w:rsidR="00951C5F">
        <w:rPr>
          <w:rFonts w:ascii="Times New Roman" w:hAnsi="Times New Roman"/>
          <w:sz w:val="24"/>
          <w:szCs w:val="24"/>
          <w:lang w:eastAsia="ru-RU"/>
        </w:rPr>
        <w:t xml:space="preserve">  рост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поступлений налога на имущество составил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  33,2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процентных пункта</w:t>
      </w:r>
      <w:r w:rsidR="007077F1">
        <w:rPr>
          <w:rFonts w:ascii="Times New Roman" w:hAnsi="Times New Roman"/>
          <w:sz w:val="24"/>
          <w:szCs w:val="24"/>
          <w:lang w:eastAsia="ru-RU"/>
        </w:rPr>
        <w:t>;</w:t>
      </w:r>
    </w:p>
    <w:p w:rsidR="009918B3" w:rsidRPr="0028413C" w:rsidRDefault="009918B3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 сумме 1382,7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51C5F">
        <w:rPr>
          <w:rFonts w:ascii="Times New Roman" w:hAnsi="Times New Roman"/>
          <w:sz w:val="24"/>
          <w:szCs w:val="24"/>
          <w:lang w:eastAsia="ru-RU"/>
        </w:rPr>
        <w:t>40,1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B6F">
        <w:rPr>
          <w:rFonts w:ascii="Times New Roman" w:hAnsi="Times New Roman"/>
          <w:sz w:val="24"/>
          <w:szCs w:val="24"/>
          <w:lang w:eastAsia="ru-RU"/>
        </w:rPr>
        <w:t>% годовы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х назначений. Поступило на </w:t>
      </w:r>
      <w:r w:rsidR="00951C5F">
        <w:rPr>
          <w:rFonts w:ascii="Times New Roman" w:hAnsi="Times New Roman"/>
          <w:sz w:val="24"/>
          <w:szCs w:val="24"/>
          <w:lang w:eastAsia="ru-RU"/>
        </w:rPr>
        <w:t>18,4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 w:rsidR="00E77F55" w:rsidRPr="0057203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51C5F">
        <w:rPr>
          <w:rFonts w:ascii="Times New Roman" w:hAnsi="Times New Roman"/>
          <w:sz w:val="24"/>
          <w:szCs w:val="24"/>
          <w:lang w:eastAsia="ru-RU"/>
        </w:rPr>
        <w:t>311,9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6B6F" w:rsidRPr="0057203A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</w:t>
      </w:r>
      <w:r w:rsidR="0057203A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57203A">
        <w:rPr>
          <w:rFonts w:ascii="Times New Roman" w:hAnsi="Times New Roman"/>
          <w:sz w:val="24"/>
          <w:szCs w:val="24"/>
          <w:lang w:eastAsia="ru-RU"/>
        </w:rPr>
        <w:t xml:space="preserve"> меньше</w:t>
      </w:r>
      <w:r w:rsidR="00084E32">
        <w:rPr>
          <w:rFonts w:ascii="Times New Roman" w:hAnsi="Times New Roman"/>
          <w:sz w:val="24"/>
          <w:szCs w:val="24"/>
          <w:lang w:eastAsia="ru-RU"/>
        </w:rPr>
        <w:t xml:space="preserve"> уровня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997CF9" w:rsidRDefault="00997CF9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6B6F" w:rsidRPr="0057203A" w:rsidRDefault="00D56B6F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частки – </w:t>
      </w:r>
      <w:r w:rsidR="00951C5F">
        <w:rPr>
          <w:rFonts w:ascii="Times New Roman" w:hAnsi="Times New Roman"/>
          <w:sz w:val="24"/>
          <w:szCs w:val="24"/>
          <w:lang w:eastAsia="ru-RU"/>
        </w:rPr>
        <w:t>856,5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951C5F">
        <w:rPr>
          <w:rFonts w:ascii="Times New Roman" w:hAnsi="Times New Roman"/>
          <w:sz w:val="24"/>
          <w:szCs w:val="24"/>
          <w:lang w:eastAsia="ru-RU"/>
        </w:rPr>
        <w:t>42,4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</w:t>
      </w:r>
      <w:proofErr w:type="gramStart"/>
      <w:r w:rsidR="00640724">
        <w:rPr>
          <w:rFonts w:ascii="Times New Roman" w:hAnsi="Times New Roman"/>
          <w:sz w:val="24"/>
          <w:szCs w:val="24"/>
          <w:lang w:eastAsia="ru-RU"/>
        </w:rPr>
        <w:t xml:space="preserve">сокращение 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A8B" w:rsidRPr="0057203A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D31A8B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1C5F">
        <w:rPr>
          <w:rFonts w:ascii="Times New Roman" w:hAnsi="Times New Roman"/>
          <w:sz w:val="24"/>
          <w:szCs w:val="24"/>
          <w:lang w:eastAsia="ru-RU"/>
        </w:rPr>
        <w:t>206,3</w:t>
      </w:r>
      <w:r w:rsidR="0002082E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2082E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51C5F">
        <w:rPr>
          <w:rFonts w:ascii="Times New Roman" w:hAnsi="Times New Roman"/>
          <w:sz w:val="24"/>
          <w:szCs w:val="24"/>
          <w:lang w:eastAsia="ru-RU"/>
        </w:rPr>
        <w:t xml:space="preserve"> (- 19,4</w:t>
      </w:r>
      <w:r w:rsidR="00112A3B" w:rsidRPr="0057203A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2082E" w:rsidRPr="0057203A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03A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 w:rsidRPr="0057203A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951C5F">
        <w:rPr>
          <w:rFonts w:ascii="Times New Roman" w:hAnsi="Times New Roman"/>
          <w:sz w:val="24"/>
          <w:szCs w:val="24"/>
          <w:lang w:eastAsia="ru-RU"/>
        </w:rPr>
        <w:t>ущества – 102,9</w:t>
      </w:r>
      <w:r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203A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57203A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57203A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951C5F">
        <w:rPr>
          <w:rFonts w:ascii="Times New Roman" w:hAnsi="Times New Roman"/>
          <w:sz w:val="24"/>
          <w:szCs w:val="24"/>
          <w:lang w:eastAsia="ru-RU"/>
        </w:rPr>
        <w:t>29,5</w:t>
      </w:r>
      <w:r w:rsidR="009918B3" w:rsidRPr="0057203A">
        <w:rPr>
          <w:rFonts w:ascii="Times New Roman" w:hAnsi="Times New Roman"/>
          <w:sz w:val="24"/>
          <w:szCs w:val="24"/>
          <w:lang w:eastAsia="ru-RU"/>
        </w:rPr>
        <w:t xml:space="preserve"> %), сокращение</w:t>
      </w:r>
      <w:r w:rsidR="00747CA0" w:rsidRPr="0057203A">
        <w:rPr>
          <w:rFonts w:ascii="Times New Roman" w:hAnsi="Times New Roman"/>
          <w:sz w:val="24"/>
          <w:szCs w:val="24"/>
          <w:lang w:eastAsia="ru-RU"/>
        </w:rPr>
        <w:t xml:space="preserve"> к уровню</w:t>
      </w:r>
      <w:r w:rsidR="008B7804" w:rsidRPr="0057203A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D31A8B" w:rsidRPr="0057203A">
        <w:rPr>
          <w:rFonts w:ascii="Times New Roman" w:hAnsi="Times New Roman"/>
          <w:sz w:val="24"/>
          <w:szCs w:val="24"/>
          <w:lang w:eastAsia="ru-RU"/>
        </w:rPr>
        <w:t xml:space="preserve"> года – </w:t>
      </w:r>
      <w:r w:rsidR="00951C5F">
        <w:rPr>
          <w:rFonts w:ascii="Times New Roman" w:hAnsi="Times New Roman"/>
          <w:sz w:val="24"/>
          <w:szCs w:val="24"/>
          <w:lang w:eastAsia="ru-RU"/>
        </w:rPr>
        <w:t>54,2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51C5F">
        <w:rPr>
          <w:rFonts w:ascii="Times New Roman" w:hAnsi="Times New Roman"/>
          <w:sz w:val="24"/>
          <w:szCs w:val="24"/>
          <w:lang w:eastAsia="ru-RU"/>
        </w:rPr>
        <w:t xml:space="preserve"> ( -34,5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A3B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423,3</w:t>
      </w:r>
      <w:r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112A3B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39,2 %, что меньше уровня прошлого года на 51,4 </w:t>
      </w:r>
      <w:proofErr w:type="spellStart"/>
      <w:r w:rsidR="00951C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31A8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31A8B" w:rsidRPr="00112A3B" w:rsidRDefault="00D31A8B" w:rsidP="00D31A8B">
      <w:pPr>
        <w:pStyle w:val="a9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D31A8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доходы от оказания платных услуг (работ) и компенсации затрат государства </w:t>
      </w:r>
      <w:r w:rsidR="00951C5F">
        <w:rPr>
          <w:rFonts w:ascii="Times New Roman" w:hAnsi="Times New Roman"/>
          <w:sz w:val="24"/>
          <w:szCs w:val="24"/>
          <w:lang w:eastAsia="ru-RU"/>
        </w:rPr>
        <w:t>поступили в сумме 476,5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при плане 0,0 </w:t>
      </w:r>
      <w:proofErr w:type="spellStart"/>
      <w:r w:rsidR="008B780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7804">
        <w:rPr>
          <w:rFonts w:ascii="Times New Roman" w:hAnsi="Times New Roman"/>
          <w:sz w:val="24"/>
          <w:szCs w:val="24"/>
          <w:lang w:eastAsia="ru-RU"/>
        </w:rPr>
        <w:t>;</w:t>
      </w:r>
    </w:p>
    <w:p w:rsidR="00112A3B" w:rsidRDefault="00C04AF4" w:rsidP="009918B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</w:t>
      </w:r>
      <w:r w:rsidR="00112A3B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951C5F">
        <w:rPr>
          <w:rFonts w:ascii="Times New Roman" w:hAnsi="Times New Roman"/>
          <w:sz w:val="24"/>
          <w:szCs w:val="24"/>
          <w:lang w:eastAsia="ru-RU"/>
        </w:rPr>
        <w:t>или 160,0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951C5F">
        <w:rPr>
          <w:rFonts w:ascii="Times New Roman" w:hAnsi="Times New Roman"/>
          <w:sz w:val="24"/>
          <w:szCs w:val="24"/>
          <w:lang w:eastAsia="ru-RU"/>
        </w:rPr>
        <w:t>36,5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951C5F">
        <w:rPr>
          <w:rFonts w:ascii="Times New Roman" w:hAnsi="Times New Roman"/>
          <w:sz w:val="24"/>
          <w:szCs w:val="24"/>
          <w:lang w:eastAsia="ru-RU"/>
        </w:rPr>
        <w:t xml:space="preserve"> (131,0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.</w:t>
      </w:r>
    </w:p>
    <w:p w:rsidR="005F6B85" w:rsidRPr="0024636A" w:rsidRDefault="005F6B85" w:rsidP="009918B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поступления от штрафов, санкций, возмещения ущерба в 1 полугодии 2020 г. составили 0,5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88F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112A3B">
        <w:rPr>
          <w:rFonts w:ascii="Times New Roman" w:hAnsi="Times New Roman"/>
          <w:sz w:val="24"/>
          <w:szCs w:val="24"/>
          <w:lang w:eastAsia="ru-RU"/>
        </w:rPr>
        <w:t>ся по налогу на имущество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наступит в 4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квартале. </w:t>
      </w:r>
    </w:p>
    <w:p w:rsidR="00112A3B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Низкий процент исполнения сложился по доходам от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аренды </w:t>
      </w:r>
      <w:r w:rsidR="008727FE">
        <w:rPr>
          <w:rFonts w:ascii="Times New Roman" w:hAnsi="Times New Roman"/>
          <w:sz w:val="24"/>
          <w:szCs w:val="24"/>
          <w:lang w:eastAsia="ru-RU"/>
        </w:rPr>
        <w:t xml:space="preserve"> имущества</w:t>
      </w:r>
      <w:proofErr w:type="gramEnd"/>
      <w:r w:rsidR="008727FE">
        <w:rPr>
          <w:rFonts w:ascii="Times New Roman" w:hAnsi="Times New Roman"/>
          <w:sz w:val="24"/>
          <w:szCs w:val="24"/>
          <w:lang w:eastAsia="ru-RU"/>
        </w:rPr>
        <w:t xml:space="preserve"> – 29,5</w:t>
      </w:r>
      <w:r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D31A8B" w:rsidRPr="0024636A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8727FE">
        <w:rPr>
          <w:rFonts w:ascii="Times New Roman" w:hAnsi="Times New Roman"/>
          <w:sz w:val="24"/>
          <w:szCs w:val="24"/>
          <w:lang w:eastAsia="ru-RU"/>
        </w:rPr>
        <w:t>27,5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8727FE">
        <w:rPr>
          <w:rFonts w:ascii="Times New Roman" w:hAnsi="Times New Roman"/>
          <w:sz w:val="24"/>
          <w:szCs w:val="24"/>
          <w:lang w:eastAsia="ru-RU"/>
        </w:rPr>
        <w:t xml:space="preserve"> – 8733,7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5832" w:rsidRDefault="008727FE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hAnsi="Times New Roman"/>
          <w:sz w:val="24"/>
          <w:szCs w:val="24"/>
          <w:lang w:eastAsia="ru-RU"/>
        </w:rPr>
        <w:t>1206,1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780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7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7804" w:rsidRPr="0057203A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/>
          <w:sz w:val="24"/>
          <w:szCs w:val="24"/>
          <w:lang w:eastAsia="ru-RU"/>
        </w:rPr>
        <w:t>50,0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назначений.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>Поступили  дотации</w:t>
      </w:r>
      <w:proofErr w:type="gram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4"/>
          <w:szCs w:val="24"/>
          <w:lang w:eastAsia="ru-RU"/>
        </w:rPr>
        <w:t>ованности бюджета в сумме 1626,3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90B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90B0B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60,6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EF032C">
        <w:rPr>
          <w:rFonts w:ascii="Times New Roman" w:hAnsi="Times New Roman"/>
          <w:sz w:val="24"/>
          <w:szCs w:val="24"/>
          <w:lang w:eastAsia="ru-RU"/>
        </w:rPr>
        <w:t>.</w:t>
      </w:r>
    </w:p>
    <w:p w:rsidR="00305832" w:rsidRPr="007B2E48" w:rsidRDefault="004A16CD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BA222B">
        <w:rPr>
          <w:rFonts w:ascii="Times New Roman" w:hAnsi="Times New Roman"/>
          <w:sz w:val="24"/>
          <w:szCs w:val="24"/>
          <w:lang w:eastAsia="ru-RU"/>
        </w:rPr>
        <w:t xml:space="preserve"> поступили в объеме 5891,3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</w:t>
      </w:r>
      <w:r w:rsidR="00BA222B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BA222B">
        <w:rPr>
          <w:rFonts w:ascii="Times New Roman" w:hAnsi="Times New Roman"/>
          <w:sz w:val="24"/>
          <w:szCs w:val="24"/>
          <w:lang w:eastAsia="ru-RU"/>
        </w:rPr>
        <w:t xml:space="preserve"> или 167,2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% год</w:t>
      </w:r>
      <w:r w:rsidR="00EF7685" w:rsidRPr="00BC2075">
        <w:rPr>
          <w:rFonts w:ascii="Times New Roman" w:hAnsi="Times New Roman"/>
          <w:sz w:val="24"/>
          <w:szCs w:val="24"/>
          <w:lang w:eastAsia="ru-RU"/>
        </w:rPr>
        <w:t>овых назначений</w:t>
      </w:r>
      <w:r w:rsidR="00E13647" w:rsidRPr="00BC2075">
        <w:rPr>
          <w:rFonts w:ascii="Times New Roman" w:hAnsi="Times New Roman"/>
          <w:sz w:val="24"/>
          <w:szCs w:val="24"/>
          <w:lang w:eastAsia="ru-RU"/>
        </w:rPr>
        <w:t xml:space="preserve"> (субсидия на орга</w:t>
      </w:r>
      <w:r w:rsidR="007B2E48" w:rsidRPr="00BC2075">
        <w:rPr>
          <w:rFonts w:ascii="Times New Roman" w:hAnsi="Times New Roman"/>
          <w:sz w:val="24"/>
          <w:szCs w:val="24"/>
          <w:lang w:eastAsia="ru-RU"/>
        </w:rPr>
        <w:t>низацию уличного освещения</w:t>
      </w:r>
      <w:r w:rsidR="00BA222B">
        <w:rPr>
          <w:rFonts w:ascii="Times New Roman" w:hAnsi="Times New Roman"/>
          <w:sz w:val="24"/>
          <w:szCs w:val="24"/>
          <w:lang w:eastAsia="ru-RU"/>
        </w:rPr>
        <w:t xml:space="preserve"> 1024,2</w:t>
      </w:r>
      <w:r w:rsidR="00BC2075" w:rsidRPr="00BC20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C2075" w:rsidRPr="00BC207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A222B">
        <w:rPr>
          <w:rFonts w:ascii="Times New Roman" w:hAnsi="Times New Roman"/>
          <w:sz w:val="24"/>
          <w:szCs w:val="24"/>
          <w:lang w:eastAsia="ru-RU"/>
        </w:rPr>
        <w:t>, на реализацию проекта «Народный бюджет» - 4867,1 тыс.рублей</w:t>
      </w:r>
      <w:r w:rsidR="00BC2075" w:rsidRPr="00BC2075">
        <w:rPr>
          <w:rFonts w:ascii="Times New Roman" w:hAnsi="Times New Roman"/>
          <w:sz w:val="24"/>
          <w:szCs w:val="24"/>
          <w:lang w:eastAsia="ru-RU"/>
        </w:rPr>
        <w:t>).</w:t>
      </w:r>
    </w:p>
    <w:p w:rsidR="00305832" w:rsidRDefault="00937518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075">
        <w:rPr>
          <w:rFonts w:ascii="Times New Roman" w:hAnsi="Times New Roman"/>
          <w:sz w:val="24"/>
          <w:szCs w:val="24"/>
          <w:lang w:eastAsia="ru-RU"/>
        </w:rPr>
        <w:t>С</w:t>
      </w:r>
      <w:r w:rsidR="00262B77">
        <w:rPr>
          <w:rFonts w:ascii="Times New Roman" w:hAnsi="Times New Roman"/>
          <w:sz w:val="24"/>
          <w:szCs w:val="24"/>
          <w:lang w:eastAsia="ru-RU"/>
        </w:rPr>
        <w:t>убвенции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в отчетный период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в бюджет МО не поступали. </w:t>
      </w:r>
    </w:p>
    <w:p w:rsidR="00A90B0B" w:rsidRDefault="00EF7685" w:rsidP="00BC20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м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BA222B">
        <w:rPr>
          <w:rFonts w:ascii="Times New Roman" w:hAnsi="Times New Roman"/>
          <w:sz w:val="24"/>
          <w:szCs w:val="24"/>
          <w:lang w:eastAsia="ru-RU"/>
        </w:rPr>
        <w:t xml:space="preserve">МО поступили в сумме 10,0 </w:t>
      </w:r>
      <w:proofErr w:type="spellStart"/>
      <w:r w:rsidR="00BA222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C207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518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647">
        <w:rPr>
          <w:rFonts w:ascii="Times New Roman" w:hAnsi="Times New Roman"/>
          <w:sz w:val="24"/>
          <w:szCs w:val="24"/>
          <w:lang w:eastAsia="ru-RU"/>
        </w:rPr>
        <w:t>Прочие безвозмездные поступления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ступали. </w:t>
      </w:r>
      <w:r w:rsidR="009E0A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A2A" w:rsidRDefault="00CD0A2A" w:rsidP="00CD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A2A" w:rsidRDefault="00CD0A2A" w:rsidP="00CD0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сверки данных отчета с бюджетной отчетностью (ф.0503117 «Отчет об исполнении бюджета» выявлен факт отличия плановых показателей по доходам, в части плана поступления субсидий и иных межбюджетных трансфертов.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Default="003934BD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E623A" w:rsidRPr="0028413C" w:rsidRDefault="002E623A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5832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BC2075">
        <w:rPr>
          <w:rFonts w:ascii="Times New Roman" w:hAnsi="Times New Roman"/>
          <w:sz w:val="24"/>
          <w:szCs w:val="24"/>
          <w:lang w:eastAsia="ru-RU"/>
        </w:rPr>
        <w:t>Решением Совета от 10.12.2019 года № 138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азования «Город </w:t>
      </w:r>
      <w:r w:rsidR="00BC2075">
        <w:rPr>
          <w:rFonts w:ascii="Times New Roman" w:hAnsi="Times New Roman"/>
          <w:sz w:val="24"/>
          <w:szCs w:val="24"/>
          <w:lang w:eastAsia="ru-RU"/>
        </w:rPr>
        <w:t>Вытегра» на 2020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2021 и 2022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32C">
        <w:rPr>
          <w:rFonts w:ascii="Times New Roman" w:hAnsi="Times New Roman"/>
          <w:sz w:val="24"/>
          <w:szCs w:val="24"/>
          <w:lang w:eastAsia="ru-RU"/>
        </w:rPr>
        <w:t>изменение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>вы</w:t>
      </w:r>
      <w:r w:rsidR="00305832">
        <w:rPr>
          <w:rFonts w:ascii="Times New Roman" w:hAnsi="Times New Roman"/>
          <w:sz w:val="24"/>
          <w:szCs w:val="24"/>
          <w:lang w:eastAsia="ru-RU"/>
        </w:rPr>
        <w:t>й объем дефицит</w:t>
      </w:r>
      <w:r w:rsidR="00EF032C">
        <w:rPr>
          <w:rFonts w:ascii="Times New Roman" w:hAnsi="Times New Roman"/>
          <w:sz w:val="24"/>
          <w:szCs w:val="24"/>
          <w:lang w:eastAsia="ru-RU"/>
        </w:rPr>
        <w:t>а внесено реш</w:t>
      </w:r>
      <w:r w:rsidR="00BC2075">
        <w:rPr>
          <w:rFonts w:ascii="Times New Roman" w:hAnsi="Times New Roman"/>
          <w:sz w:val="24"/>
          <w:szCs w:val="24"/>
          <w:lang w:eastAsia="ru-RU"/>
        </w:rPr>
        <w:t>ением Городского Совета МО от 26.03.2020 № 153</w:t>
      </w:r>
      <w:r w:rsidR="00305832">
        <w:rPr>
          <w:rFonts w:ascii="Times New Roman" w:hAnsi="Times New Roman"/>
          <w:sz w:val="24"/>
          <w:szCs w:val="24"/>
          <w:lang w:eastAsia="ru-RU"/>
        </w:rPr>
        <w:t>.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Дефицит бюдж</w:t>
      </w:r>
      <w:r w:rsidR="00BC2075">
        <w:rPr>
          <w:rFonts w:ascii="Times New Roman" w:hAnsi="Times New Roman"/>
          <w:sz w:val="24"/>
          <w:szCs w:val="24"/>
          <w:lang w:eastAsia="ru-RU"/>
        </w:rPr>
        <w:t>ета МО утвержден в объеме 1554,3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032C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EF032C" w:rsidRPr="0057203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 xml:space="preserve">4,1 </w:t>
      </w:r>
      <w:r w:rsidR="00F5239F" w:rsidRPr="0057203A">
        <w:rPr>
          <w:rFonts w:ascii="Times New Roman" w:hAnsi="Times New Roman"/>
          <w:sz w:val="24"/>
          <w:szCs w:val="24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</w:t>
      </w:r>
      <w:r w:rsidR="00F5239F" w:rsidRPr="00F5239F">
        <w:rPr>
          <w:rFonts w:ascii="Times New Roman" w:hAnsi="Times New Roman"/>
          <w:sz w:val="24"/>
          <w:szCs w:val="24"/>
          <w:lang w:eastAsia="ru-RU"/>
        </w:rPr>
        <w:t>, установленным пунктом 3 статьи 92.1 Бюджетного кодекса РФ. Источниками финансирования дефицита бюджета являются остатки средств на счетах бю</w:t>
      </w:r>
      <w:r w:rsidR="00BC2075">
        <w:rPr>
          <w:rFonts w:ascii="Times New Roman" w:hAnsi="Times New Roman"/>
          <w:sz w:val="24"/>
          <w:szCs w:val="24"/>
          <w:lang w:eastAsia="ru-RU"/>
        </w:rPr>
        <w:t>джета по состоянию на 01 01.2020</w:t>
      </w:r>
      <w:r w:rsidR="00F5239F" w:rsidRPr="00F5239F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87783E" w:rsidRDefault="0093751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результате исполнения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бюджета МО</w:t>
      </w:r>
      <w:r w:rsidR="001F1BB1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7783E">
        <w:rPr>
          <w:rFonts w:ascii="Times New Roman" w:hAnsi="Times New Roman"/>
          <w:sz w:val="24"/>
          <w:szCs w:val="24"/>
          <w:lang w:eastAsia="ru-RU"/>
        </w:rPr>
        <w:t>с</w:t>
      </w:r>
      <w:r w:rsidR="00305832">
        <w:rPr>
          <w:rFonts w:ascii="Times New Roman" w:hAnsi="Times New Roman"/>
          <w:sz w:val="24"/>
          <w:szCs w:val="24"/>
          <w:lang w:eastAsia="ru-RU"/>
        </w:rPr>
        <w:t>формировался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1BB1">
        <w:rPr>
          <w:rFonts w:ascii="Times New Roman" w:hAnsi="Times New Roman"/>
          <w:sz w:val="24"/>
          <w:szCs w:val="24"/>
          <w:lang w:eastAsia="ru-RU"/>
        </w:rPr>
        <w:t>про</w:t>
      </w:r>
      <w:r w:rsidR="00305832">
        <w:rPr>
          <w:rFonts w:ascii="Times New Roman" w:hAnsi="Times New Roman"/>
          <w:sz w:val="24"/>
          <w:szCs w:val="24"/>
          <w:lang w:eastAsia="ru-RU"/>
        </w:rPr>
        <w:t>фицит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в объем</w:t>
      </w:r>
      <w:r w:rsidR="001F1BB1">
        <w:rPr>
          <w:rFonts w:ascii="Times New Roman" w:hAnsi="Times New Roman"/>
          <w:sz w:val="24"/>
          <w:szCs w:val="24"/>
          <w:lang w:eastAsia="ru-RU"/>
        </w:rPr>
        <w:t>е 5628,7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37ED" w:rsidRDefault="00DA5DA2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239F" w:rsidRPr="00372A28" w:rsidRDefault="00F5239F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1F1BB1">
        <w:rPr>
          <w:rFonts w:ascii="Times New Roman" w:hAnsi="Times New Roman"/>
          <w:sz w:val="24"/>
          <w:szCs w:val="24"/>
          <w:lang w:eastAsia="ru-RU"/>
        </w:rPr>
        <w:t>17697,9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1F1BB1">
        <w:rPr>
          <w:rFonts w:ascii="Times New Roman" w:hAnsi="Times New Roman"/>
          <w:sz w:val="24"/>
          <w:szCs w:val="24"/>
          <w:lang w:eastAsia="ru-RU"/>
        </w:rPr>
        <w:t>24,9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BC2075">
        <w:rPr>
          <w:rFonts w:ascii="Times New Roman" w:hAnsi="Times New Roman"/>
          <w:sz w:val="24"/>
          <w:szCs w:val="24"/>
          <w:lang w:eastAsia="ru-RU"/>
        </w:rPr>
        <w:t>гичного периода 2019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1F1BB1">
        <w:rPr>
          <w:rFonts w:ascii="Times New Roman" w:hAnsi="Times New Roman"/>
          <w:sz w:val="24"/>
          <w:szCs w:val="24"/>
          <w:lang w:eastAsia="ru-RU"/>
        </w:rPr>
        <w:t>78,3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Default="00D208E0" w:rsidP="00B41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по состоянию </w:t>
      </w:r>
      <w:r w:rsidR="001F1BB1">
        <w:rPr>
          <w:rFonts w:ascii="Times New Roman" w:hAnsi="Times New Roman"/>
          <w:sz w:val="24"/>
          <w:szCs w:val="24"/>
          <w:lang w:eastAsia="ru-RU"/>
        </w:rPr>
        <w:t>на 1 июля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B412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>
        <w:rPr>
          <w:rFonts w:ascii="Times New Roman" w:hAnsi="Times New Roman"/>
          <w:sz w:val="24"/>
          <w:szCs w:val="24"/>
          <w:lang w:eastAsia="ru-RU"/>
        </w:rPr>
        <w:t>года</w:t>
      </w: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  <w:r w:rsidR="008B0862">
        <w:rPr>
          <w:rFonts w:ascii="Times New Roman" w:hAnsi="Times New Roman"/>
          <w:sz w:val="24"/>
          <w:szCs w:val="24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1F1BB1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C207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1F1BB1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1F1BB1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22602,3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71025,9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1F1BB1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17697,9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1F1BB1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1F1BB1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78,3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4014,4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11624,1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4495,5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2992,8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308,2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686,4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2229,0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20430,0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1738,3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12829,8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22562,6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7288,0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2573,5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1F1BB1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5628,7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F4742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B040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9F4742">
        <w:rPr>
          <w:rFonts w:ascii="Times New Roman" w:hAnsi="Times New Roman"/>
          <w:sz w:val="24"/>
          <w:szCs w:val="24"/>
          <w:lang w:eastAsia="ru-RU"/>
        </w:rPr>
        <w:t>38,7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9F4742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9F4742">
        <w:rPr>
          <w:rFonts w:ascii="Times New Roman" w:hAnsi="Times New Roman"/>
          <w:sz w:val="24"/>
          <w:szCs w:val="24"/>
          <w:lang w:eastAsia="ru-RU"/>
        </w:rPr>
        <w:t xml:space="preserve"> 4495,5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9F4742">
        <w:rPr>
          <w:rFonts w:ascii="Times New Roman" w:hAnsi="Times New Roman"/>
          <w:sz w:val="24"/>
          <w:szCs w:val="24"/>
          <w:lang w:eastAsia="ru-RU"/>
        </w:rPr>
        <w:t>112,0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9F4742">
        <w:rPr>
          <w:rFonts w:ascii="Times New Roman" w:hAnsi="Times New Roman"/>
          <w:sz w:val="24"/>
          <w:szCs w:val="24"/>
          <w:lang w:eastAsia="ru-RU"/>
        </w:rPr>
        <w:t>– 25,4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9307FD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года решением Городского Совета план финансирован</w:t>
      </w:r>
      <w:r w:rsidR="006B40B4">
        <w:rPr>
          <w:rFonts w:ascii="Times New Roman" w:hAnsi="Times New Roman"/>
          <w:sz w:val="24"/>
          <w:szCs w:val="24"/>
          <w:lang w:eastAsia="ru-RU"/>
        </w:rPr>
        <w:t xml:space="preserve">ия раздела был </w:t>
      </w:r>
      <w:r w:rsidR="009307FD">
        <w:rPr>
          <w:rFonts w:ascii="Times New Roman" w:hAnsi="Times New Roman"/>
          <w:sz w:val="24"/>
          <w:szCs w:val="24"/>
          <w:lang w:eastAsia="ru-RU"/>
        </w:rPr>
        <w:t>увеличен на 909,2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E11">
        <w:rPr>
          <w:rFonts w:ascii="Times New Roman" w:hAnsi="Times New Roman"/>
          <w:sz w:val="24"/>
          <w:szCs w:val="24"/>
          <w:lang w:eastAsia="ru-RU"/>
        </w:rPr>
        <w:t>Информация об использовании средств фо</w:t>
      </w:r>
      <w:r w:rsidR="00540524">
        <w:rPr>
          <w:rFonts w:ascii="Times New Roman" w:hAnsi="Times New Roman"/>
          <w:sz w:val="24"/>
          <w:szCs w:val="24"/>
          <w:lang w:eastAsia="ru-RU"/>
        </w:rPr>
        <w:t>нда в составе отчета представлена</w:t>
      </w:r>
      <w:r w:rsidR="00672E11">
        <w:rPr>
          <w:rFonts w:ascii="Times New Roman" w:hAnsi="Times New Roman"/>
          <w:sz w:val="24"/>
          <w:szCs w:val="24"/>
          <w:lang w:eastAsia="ru-RU"/>
        </w:rPr>
        <w:t>.</w:t>
      </w:r>
    </w:p>
    <w:p w:rsidR="008A7648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F4C2F" w:rsidRPr="0057203A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9307FD">
        <w:rPr>
          <w:rFonts w:ascii="Times New Roman" w:hAnsi="Times New Roman"/>
          <w:sz w:val="24"/>
          <w:szCs w:val="24"/>
          <w:lang w:eastAsia="ru-RU"/>
        </w:rPr>
        <w:t>ьного образования возросло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прошлым 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годом на </w:t>
      </w:r>
      <w:r w:rsidR="009F4742">
        <w:rPr>
          <w:rFonts w:ascii="Times New Roman" w:hAnsi="Times New Roman"/>
          <w:sz w:val="24"/>
          <w:szCs w:val="24"/>
          <w:lang w:eastAsia="ru-RU"/>
        </w:rPr>
        <w:t>38,5</w:t>
      </w:r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7203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742">
        <w:rPr>
          <w:rFonts w:ascii="Times New Roman" w:hAnsi="Times New Roman"/>
          <w:sz w:val="24"/>
          <w:szCs w:val="24"/>
          <w:lang w:eastAsia="ru-RU"/>
        </w:rPr>
        <w:t>151,5</w:t>
      </w:r>
      <w:r w:rsidR="009307FD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07FD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07FD" w:rsidRPr="0057203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F4742">
        <w:rPr>
          <w:rFonts w:ascii="Times New Roman" w:hAnsi="Times New Roman"/>
          <w:sz w:val="24"/>
          <w:szCs w:val="24"/>
          <w:lang w:eastAsia="ru-RU"/>
        </w:rPr>
        <w:t>24,9</w:t>
      </w:r>
      <w:r w:rsidR="005978C6" w:rsidRPr="0057203A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5978C6" w:rsidRPr="0057203A">
        <w:rPr>
          <w:rFonts w:ascii="Times New Roman" w:hAnsi="Times New Roman"/>
          <w:sz w:val="24"/>
          <w:szCs w:val="24"/>
          <w:lang w:eastAsia="ru-RU"/>
        </w:rPr>
        <w:lastRenderedPageBreak/>
        <w:t>годового п</w:t>
      </w:r>
      <w:r w:rsidR="008A7648" w:rsidRPr="0057203A">
        <w:rPr>
          <w:rFonts w:ascii="Times New Roman" w:hAnsi="Times New Roman"/>
          <w:sz w:val="24"/>
          <w:szCs w:val="24"/>
          <w:lang w:eastAsia="ru-RU"/>
        </w:rPr>
        <w:t>л</w:t>
      </w:r>
      <w:r w:rsidR="006B40B4" w:rsidRPr="0057203A">
        <w:rPr>
          <w:rFonts w:ascii="Times New Roman" w:hAnsi="Times New Roman"/>
          <w:sz w:val="24"/>
          <w:szCs w:val="24"/>
          <w:lang w:eastAsia="ru-RU"/>
        </w:rPr>
        <w:t>а</w:t>
      </w:r>
      <w:r w:rsidR="009F4742">
        <w:rPr>
          <w:rFonts w:ascii="Times New Roman" w:hAnsi="Times New Roman"/>
          <w:sz w:val="24"/>
          <w:szCs w:val="24"/>
          <w:lang w:eastAsia="ru-RU"/>
        </w:rPr>
        <w:t>на, из них на оплату труда 137,2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 w:rsidRPr="0057203A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 w:rsidRPr="0057203A"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F4742">
        <w:rPr>
          <w:rFonts w:ascii="Times New Roman" w:hAnsi="Times New Roman"/>
          <w:sz w:val="24"/>
          <w:szCs w:val="24"/>
          <w:lang w:eastAsia="ru-RU"/>
        </w:rPr>
        <w:t>работ и услуг 14,3</w:t>
      </w:r>
      <w:r w:rsidR="008A7648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 w:rsidRPr="0057203A">
        <w:rPr>
          <w:rFonts w:ascii="Times New Roman" w:hAnsi="Times New Roman"/>
          <w:sz w:val="24"/>
          <w:szCs w:val="24"/>
          <w:lang w:eastAsia="ru-RU"/>
        </w:rPr>
        <w:t>.</w:t>
      </w:r>
    </w:p>
    <w:p w:rsidR="006F4C2F" w:rsidRPr="0057203A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03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F4742">
        <w:rPr>
          <w:rFonts w:ascii="Times New Roman" w:hAnsi="Times New Roman"/>
          <w:sz w:val="24"/>
          <w:szCs w:val="24"/>
          <w:lang w:eastAsia="ru-RU"/>
        </w:rPr>
        <w:t>На 42,8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9F4742">
        <w:rPr>
          <w:rFonts w:ascii="Times New Roman" w:hAnsi="Times New Roman"/>
          <w:sz w:val="24"/>
          <w:szCs w:val="24"/>
          <w:lang w:eastAsia="ru-RU"/>
        </w:rPr>
        <w:t>рации – 3947,7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57203A">
        <w:rPr>
          <w:rFonts w:ascii="Times New Roman" w:hAnsi="Times New Roman"/>
          <w:sz w:val="24"/>
          <w:szCs w:val="24"/>
          <w:lang w:eastAsia="ru-RU"/>
        </w:rPr>
        <w:t>.</w:t>
      </w:r>
      <w:r w:rsidR="0056642E" w:rsidRPr="0057203A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 w:rsidRPr="0057203A">
        <w:rPr>
          <w:rFonts w:ascii="Times New Roman" w:hAnsi="Times New Roman"/>
          <w:sz w:val="24"/>
          <w:szCs w:val="24"/>
          <w:lang w:eastAsia="ru-RU"/>
        </w:rPr>
        <w:t>м</w:t>
      </w:r>
      <w:r w:rsidR="000B040B" w:rsidRPr="0057203A">
        <w:rPr>
          <w:rFonts w:ascii="Times New Roman" w:hAnsi="Times New Roman"/>
          <w:sz w:val="24"/>
          <w:szCs w:val="24"/>
          <w:lang w:eastAsia="ru-RU"/>
        </w:rPr>
        <w:t xml:space="preserve"> периодом прошлого года на </w:t>
      </w:r>
      <w:r w:rsidR="009F4742">
        <w:rPr>
          <w:rFonts w:ascii="Times New Roman" w:hAnsi="Times New Roman"/>
          <w:sz w:val="24"/>
          <w:szCs w:val="24"/>
          <w:lang w:eastAsia="ru-RU"/>
        </w:rPr>
        <w:t>329,5</w:t>
      </w:r>
      <w:r w:rsid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 w:rsidRPr="0057203A">
        <w:rPr>
          <w:rFonts w:ascii="Times New Roman" w:hAnsi="Times New Roman"/>
          <w:sz w:val="24"/>
          <w:szCs w:val="24"/>
          <w:lang w:eastAsia="ru-RU"/>
        </w:rPr>
        <w:t>тыс</w:t>
      </w:r>
      <w:r w:rsidR="006F4C2F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9F47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F4742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9F4742">
        <w:rPr>
          <w:rFonts w:ascii="Times New Roman" w:hAnsi="Times New Roman"/>
          <w:sz w:val="24"/>
          <w:szCs w:val="24"/>
          <w:lang w:eastAsia="ru-RU"/>
        </w:rPr>
        <w:t>9,1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>н</w:t>
      </w:r>
      <w:r w:rsidR="0058644E">
        <w:rPr>
          <w:rFonts w:ascii="Times New Roman" w:hAnsi="Times New Roman"/>
          <w:sz w:val="24"/>
          <w:szCs w:val="24"/>
          <w:lang w:eastAsia="ru-RU"/>
        </w:rPr>
        <w:t>о на оплату труда в сумме 2183,0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040B">
        <w:rPr>
          <w:rFonts w:ascii="Times New Roman" w:hAnsi="Times New Roman"/>
          <w:sz w:val="24"/>
          <w:szCs w:val="24"/>
          <w:lang w:eastAsia="ru-RU"/>
        </w:rPr>
        <w:t>тыс.</w:t>
      </w:r>
      <w:r w:rsidR="000B040B" w:rsidRPr="007459EE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8644E">
        <w:rPr>
          <w:rFonts w:ascii="Times New Roman" w:hAnsi="Times New Roman"/>
          <w:sz w:val="24"/>
          <w:szCs w:val="24"/>
          <w:lang w:eastAsia="ru-RU"/>
        </w:rPr>
        <w:t>35,8</w:t>
      </w:r>
      <w:r w:rsidRPr="007459EE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58644E">
        <w:rPr>
          <w:rFonts w:ascii="Times New Roman" w:hAnsi="Times New Roman"/>
          <w:sz w:val="24"/>
          <w:szCs w:val="24"/>
          <w:lang w:eastAsia="ru-RU"/>
        </w:rPr>
        <w:t xml:space="preserve"> 1356,8</w:t>
      </w:r>
      <w:r w:rsidR="008A7648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8644E">
        <w:rPr>
          <w:rFonts w:ascii="Times New Roman" w:hAnsi="Times New Roman"/>
          <w:sz w:val="24"/>
          <w:szCs w:val="24"/>
          <w:lang w:eastAsia="ru-RU"/>
        </w:rPr>
        <w:t>56,3</w:t>
      </w:r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Pr="007459EE"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 w:rsidRPr="007459EE">
        <w:rPr>
          <w:rFonts w:ascii="Times New Roman" w:hAnsi="Times New Roman"/>
          <w:sz w:val="24"/>
          <w:szCs w:val="24"/>
          <w:lang w:eastAsia="ru-RU"/>
        </w:rPr>
        <w:t>гов, с</w:t>
      </w:r>
      <w:r w:rsidR="00201145" w:rsidRPr="007459EE">
        <w:rPr>
          <w:rFonts w:ascii="Times New Roman" w:hAnsi="Times New Roman"/>
          <w:sz w:val="24"/>
          <w:szCs w:val="24"/>
          <w:lang w:eastAsia="ru-RU"/>
        </w:rPr>
        <w:t>боров и иных плат</w:t>
      </w:r>
      <w:r w:rsidR="0058644E">
        <w:rPr>
          <w:rFonts w:ascii="Times New Roman" w:hAnsi="Times New Roman"/>
          <w:sz w:val="24"/>
          <w:szCs w:val="24"/>
          <w:lang w:eastAsia="ru-RU"/>
        </w:rPr>
        <w:t>ежей 19,9</w:t>
      </w:r>
      <w:r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7459EE"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 w:rsidRPr="007459EE">
        <w:rPr>
          <w:rFonts w:ascii="Times New Roman" w:hAnsi="Times New Roman"/>
          <w:sz w:val="24"/>
          <w:szCs w:val="24"/>
          <w:lang w:eastAsia="ru-RU"/>
        </w:rPr>
        <w:t>тв</w:t>
      </w:r>
      <w:r w:rsidR="0056642E" w:rsidRPr="007459EE">
        <w:rPr>
          <w:rFonts w:ascii="Times New Roman" w:hAnsi="Times New Roman"/>
          <w:sz w:val="24"/>
          <w:szCs w:val="24"/>
          <w:lang w:eastAsia="ru-RU"/>
        </w:rPr>
        <w:t>л</w:t>
      </w:r>
      <w:r w:rsidR="00112DE0" w:rsidRPr="007459EE">
        <w:rPr>
          <w:rFonts w:ascii="Times New Roman" w:hAnsi="Times New Roman"/>
          <w:sz w:val="24"/>
          <w:szCs w:val="24"/>
          <w:lang w:eastAsia="ru-RU"/>
        </w:rPr>
        <w:t xml:space="preserve">ение переданных полномочий </w:t>
      </w:r>
      <w:r w:rsidR="0058644E">
        <w:rPr>
          <w:rFonts w:ascii="Times New Roman" w:hAnsi="Times New Roman"/>
          <w:sz w:val="24"/>
          <w:szCs w:val="24"/>
          <w:lang w:eastAsia="ru-RU"/>
        </w:rPr>
        <w:t>388,0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8644E">
        <w:rPr>
          <w:rFonts w:ascii="Times New Roman" w:hAnsi="Times New Roman"/>
          <w:sz w:val="24"/>
          <w:szCs w:val="24"/>
          <w:lang w:eastAsia="ru-RU"/>
        </w:rPr>
        <w:t>57</w:t>
      </w:r>
      <w:r w:rsidR="00652D3D" w:rsidRPr="007459E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112DE0" w:rsidRPr="007459EE"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58644E">
        <w:rPr>
          <w:rFonts w:ascii="Times New Roman" w:hAnsi="Times New Roman"/>
          <w:sz w:val="24"/>
          <w:szCs w:val="24"/>
          <w:lang w:eastAsia="ru-RU"/>
        </w:rPr>
        <w:t xml:space="preserve">вили 266,5 </w:t>
      </w:r>
      <w:proofErr w:type="spellStart"/>
      <w:r w:rsidR="005864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864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8644E">
        <w:rPr>
          <w:rFonts w:ascii="Times New Roman" w:hAnsi="Times New Roman"/>
          <w:sz w:val="24"/>
          <w:szCs w:val="24"/>
          <w:lang w:eastAsia="ru-RU"/>
        </w:rPr>
        <w:t>( 50</w:t>
      </w:r>
      <w:proofErr w:type="gramEnd"/>
      <w:r w:rsidR="0058644E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58644E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58644E">
        <w:rPr>
          <w:rFonts w:ascii="Times New Roman" w:hAnsi="Times New Roman"/>
          <w:sz w:val="24"/>
          <w:szCs w:val="24"/>
          <w:lang w:eastAsia="ru-RU"/>
        </w:rPr>
        <w:t>на 13,5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% ил</w:t>
      </w:r>
      <w:r w:rsidR="0058644E">
        <w:rPr>
          <w:rFonts w:ascii="Times New Roman" w:hAnsi="Times New Roman"/>
          <w:sz w:val="24"/>
          <w:szCs w:val="24"/>
          <w:lang w:eastAsia="ru-RU"/>
        </w:rPr>
        <w:t>и 129,9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58644E">
        <w:rPr>
          <w:rFonts w:ascii="Times New Roman" w:hAnsi="Times New Roman"/>
          <w:sz w:val="24"/>
          <w:szCs w:val="24"/>
          <w:lang w:eastAsia="ru-RU"/>
        </w:rPr>
        <w:t>:</w:t>
      </w:r>
    </w:p>
    <w:p w:rsidR="0058644E" w:rsidRDefault="0058644E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содержание и обслуживание муниципальной казны 57,8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723F36" w:rsidRDefault="00E31FAA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на исполнени</w:t>
      </w:r>
      <w:r w:rsidR="00911239">
        <w:rPr>
          <w:rFonts w:ascii="Times New Roman" w:hAnsi="Times New Roman"/>
          <w:sz w:val="24"/>
          <w:szCs w:val="24"/>
          <w:lang w:eastAsia="ru-RU"/>
        </w:rPr>
        <w:t>е судебных акто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58644E">
        <w:rPr>
          <w:rFonts w:ascii="Times New Roman" w:hAnsi="Times New Roman"/>
          <w:sz w:val="24"/>
          <w:szCs w:val="24"/>
          <w:lang w:eastAsia="ru-RU"/>
        </w:rPr>
        <w:t xml:space="preserve"> 72,1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sz w:val="24"/>
          <w:szCs w:val="24"/>
          <w:lang w:eastAsia="ru-RU"/>
        </w:rPr>
        <w:t>.</w:t>
      </w:r>
    </w:p>
    <w:p w:rsidR="00723F36" w:rsidRPr="0028413C" w:rsidRDefault="00723F3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58644E">
        <w:rPr>
          <w:rFonts w:ascii="Times New Roman" w:hAnsi="Times New Roman"/>
          <w:sz w:val="24"/>
          <w:szCs w:val="24"/>
          <w:lang w:eastAsia="ru-RU"/>
        </w:rPr>
        <w:t>ципальных органов за 1 полугодие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F36">
        <w:rPr>
          <w:rFonts w:ascii="Times New Roman" w:hAnsi="Times New Roman"/>
          <w:sz w:val="24"/>
          <w:szCs w:val="24"/>
          <w:lang w:eastAsia="ru-RU"/>
        </w:rPr>
        <w:t>2020</w:t>
      </w:r>
      <w:r w:rsidR="004F7D5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F7D5C" w:rsidRPr="007459EE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58644E">
        <w:rPr>
          <w:rFonts w:ascii="Times New Roman" w:hAnsi="Times New Roman"/>
          <w:sz w:val="24"/>
          <w:szCs w:val="24"/>
          <w:lang w:eastAsia="ru-RU"/>
        </w:rPr>
        <w:t xml:space="preserve">2320,2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7459EE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692D62">
        <w:rPr>
          <w:rFonts w:ascii="Times New Roman" w:hAnsi="Times New Roman"/>
          <w:sz w:val="24"/>
          <w:szCs w:val="24"/>
          <w:lang w:eastAsia="ru-RU"/>
        </w:rPr>
        <w:t>35,1</w:t>
      </w:r>
      <w:r w:rsidR="000A189D" w:rsidRPr="007459E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1FAA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>м периоде 2020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r w:rsidR="00E31FAA">
        <w:rPr>
          <w:rFonts w:ascii="Times New Roman" w:hAnsi="Times New Roman"/>
          <w:bCs/>
          <w:sz w:val="24"/>
          <w:szCs w:val="24"/>
          <w:lang w:eastAsia="ru-RU"/>
        </w:rPr>
        <w:t xml:space="preserve"> составило 308,2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E79A4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на обеспечение защиты населения и территории от ЧС природного и техногенного хар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ктера, гражданскую оборону 0,4 </w:t>
      </w:r>
      <w:proofErr w:type="spellStart"/>
      <w:r w:rsidR="00723F3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23F36">
        <w:rPr>
          <w:rFonts w:ascii="Times New Roman" w:hAnsi="Times New Roman"/>
          <w:bCs/>
          <w:sz w:val="24"/>
          <w:szCs w:val="24"/>
          <w:lang w:eastAsia="ru-RU"/>
        </w:rPr>
        <w:t>( 0</w:t>
      </w:r>
      <w:proofErr w:type="gramEnd"/>
      <w:r w:rsidR="00723F36">
        <w:rPr>
          <w:rFonts w:ascii="Times New Roman" w:hAnsi="Times New Roman"/>
          <w:bCs/>
          <w:sz w:val="24"/>
          <w:szCs w:val="24"/>
          <w:lang w:eastAsia="ru-RU"/>
        </w:rPr>
        <w:t>,2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по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казателей), на обеспеч</w:t>
      </w:r>
      <w:r w:rsidR="00E31FAA">
        <w:rPr>
          <w:rFonts w:ascii="Times New Roman" w:hAnsi="Times New Roman"/>
          <w:bCs/>
          <w:sz w:val="24"/>
          <w:szCs w:val="24"/>
          <w:lang w:eastAsia="ru-RU"/>
        </w:rPr>
        <w:t xml:space="preserve">ение пожарной безопасности 307,8 </w:t>
      </w:r>
      <w:proofErr w:type="spellStart"/>
      <w:r w:rsidR="00E31FAA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E31FAA">
        <w:rPr>
          <w:rFonts w:ascii="Times New Roman" w:hAnsi="Times New Roman"/>
          <w:bCs/>
          <w:sz w:val="24"/>
          <w:szCs w:val="24"/>
          <w:lang w:eastAsia="ru-RU"/>
        </w:rPr>
        <w:t xml:space="preserve"> (11,0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% годового плана). 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A764D" w:rsidRDefault="003E79A4" w:rsidP="00E31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Профинансиро</w:t>
      </w:r>
      <w:r w:rsidR="005072A6">
        <w:rPr>
          <w:rFonts w:ascii="Times New Roman" w:hAnsi="Times New Roman"/>
          <w:bCs/>
          <w:sz w:val="24"/>
          <w:szCs w:val="24"/>
          <w:lang w:eastAsia="ru-RU"/>
        </w:rPr>
        <w:t xml:space="preserve">вано содержание городского пляжа 0,4 </w:t>
      </w:r>
      <w:proofErr w:type="spellStart"/>
      <w:r w:rsidR="005072A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5072A6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072A6" w:rsidRPr="00BE0B69">
        <w:rPr>
          <w:rFonts w:ascii="Times New Roman" w:hAnsi="Times New Roman"/>
          <w:bCs/>
          <w:sz w:val="24"/>
          <w:szCs w:val="24"/>
          <w:lang w:eastAsia="ru-RU"/>
        </w:rPr>
        <w:t>очи</w:t>
      </w:r>
      <w:r w:rsidR="00E31FAA">
        <w:rPr>
          <w:rFonts w:ascii="Times New Roman" w:hAnsi="Times New Roman"/>
          <w:bCs/>
          <w:sz w:val="24"/>
          <w:szCs w:val="24"/>
          <w:lang w:eastAsia="ru-RU"/>
        </w:rPr>
        <w:t>стка и ремонт пожарных водоемов, сметные работы по текущему ремонту 307,8</w:t>
      </w:r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>тыс</w:t>
      </w:r>
      <w:r w:rsidR="00852F3F" w:rsidRPr="00BE0B6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>рублей</w:t>
      </w:r>
      <w:proofErr w:type="spellEnd"/>
      <w:r w:rsidR="00BE0B69" w:rsidRPr="00BE0B69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E31FAA">
        <w:rPr>
          <w:rFonts w:ascii="Times New Roman" w:hAnsi="Times New Roman"/>
          <w:bCs/>
          <w:sz w:val="24"/>
          <w:szCs w:val="24"/>
          <w:lang w:eastAsia="ru-RU"/>
        </w:rPr>
        <w:t xml:space="preserve">в том числе </w:t>
      </w:r>
      <w:r w:rsidR="00BE0B69" w:rsidRPr="00BE0B69">
        <w:rPr>
          <w:rFonts w:ascii="Times New Roman" w:hAnsi="Times New Roman"/>
          <w:bCs/>
          <w:sz w:val="24"/>
          <w:szCs w:val="24"/>
          <w:lang w:eastAsia="ru-RU"/>
        </w:rPr>
        <w:t>погашение кредиторской задолженности)</w:t>
      </w:r>
      <w:r w:rsidR="005072A6" w:rsidRPr="00BE0B6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E31FAA">
        <w:rPr>
          <w:rFonts w:ascii="Times New Roman" w:hAnsi="Times New Roman"/>
          <w:sz w:val="24"/>
          <w:szCs w:val="24"/>
          <w:lang w:eastAsia="ru-RU"/>
        </w:rPr>
        <w:t>составило 1738,3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E31FAA">
        <w:rPr>
          <w:rFonts w:ascii="Times New Roman" w:hAnsi="Times New Roman"/>
          <w:sz w:val="24"/>
          <w:szCs w:val="24"/>
          <w:lang w:eastAsia="ru-RU"/>
        </w:rPr>
        <w:t>6,7</w:t>
      </w:r>
      <w:r w:rsidR="00852F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E31FAA">
        <w:rPr>
          <w:rFonts w:ascii="Times New Roman" w:hAnsi="Times New Roman"/>
          <w:sz w:val="24"/>
          <w:szCs w:val="24"/>
          <w:lang w:eastAsia="ru-RU"/>
        </w:rPr>
        <w:t xml:space="preserve">78 </w:t>
      </w:r>
      <w:r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2774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составляют </w:t>
      </w:r>
      <w:r w:rsidRPr="007459EE">
        <w:rPr>
          <w:rFonts w:ascii="Times New Roman" w:hAnsi="Times New Roman"/>
          <w:sz w:val="24"/>
          <w:szCs w:val="24"/>
          <w:lang w:eastAsia="ru-RU"/>
        </w:rPr>
        <w:t>расходы на Дорожное хоз</w:t>
      </w:r>
      <w:r w:rsidR="00F00F8E" w:rsidRPr="007459EE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7459EE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E31FAA">
        <w:rPr>
          <w:rFonts w:ascii="Times New Roman" w:hAnsi="Times New Roman"/>
          <w:sz w:val="24"/>
          <w:szCs w:val="24"/>
          <w:lang w:eastAsia="ru-RU"/>
        </w:rPr>
        <w:t>1414,2</w:t>
      </w:r>
      <w:r w:rsidR="005072A6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59EE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D93DCD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7459EE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7459EE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7459EE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7459EE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852F3F" w:rsidRPr="007459E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31FAA">
        <w:rPr>
          <w:rFonts w:ascii="Times New Roman" w:hAnsi="Times New Roman"/>
          <w:sz w:val="24"/>
          <w:szCs w:val="24"/>
          <w:lang w:eastAsia="ru-RU"/>
        </w:rPr>
        <w:t>81,4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132" w:rsidRPr="007459EE">
        <w:rPr>
          <w:rFonts w:ascii="Times New Roman" w:hAnsi="Times New Roman"/>
          <w:sz w:val="24"/>
          <w:szCs w:val="24"/>
          <w:lang w:eastAsia="ru-RU"/>
        </w:rPr>
        <w:t>%).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2774" w:rsidRPr="009D7618" w:rsidRDefault="00162774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618">
        <w:rPr>
          <w:rFonts w:ascii="Times New Roman" w:hAnsi="Times New Roman"/>
          <w:sz w:val="24"/>
          <w:szCs w:val="24"/>
          <w:lang w:eastAsia="ru-RU"/>
        </w:rPr>
        <w:t>За отчетный период в Дорожный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фонд поступило доход</w:t>
      </w:r>
      <w:r w:rsidR="005072A6">
        <w:rPr>
          <w:rFonts w:ascii="Times New Roman" w:hAnsi="Times New Roman"/>
          <w:sz w:val="24"/>
          <w:szCs w:val="24"/>
          <w:lang w:eastAsia="ru-RU"/>
        </w:rPr>
        <w:t>ов –</w:t>
      </w:r>
      <w:r w:rsidR="00E31FAA">
        <w:rPr>
          <w:rFonts w:ascii="Times New Roman" w:hAnsi="Times New Roman"/>
          <w:sz w:val="24"/>
          <w:szCs w:val="24"/>
          <w:lang w:eastAsia="ru-RU"/>
        </w:rPr>
        <w:t xml:space="preserve"> 1414,2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7618" w:rsidRPr="009D7618">
        <w:rPr>
          <w:rFonts w:ascii="Times New Roman" w:hAnsi="Times New Roman"/>
          <w:sz w:val="24"/>
          <w:szCs w:val="24"/>
          <w:lang w:eastAsia="ru-RU"/>
        </w:rPr>
        <w:t>т</w:t>
      </w:r>
      <w:r w:rsidR="005072A6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5072A6">
        <w:rPr>
          <w:rFonts w:ascii="Times New Roman" w:hAnsi="Times New Roman"/>
          <w:sz w:val="24"/>
          <w:szCs w:val="24"/>
          <w:lang w:eastAsia="ru-RU"/>
        </w:rPr>
        <w:t>, из них акцизов 359,6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9D7618">
        <w:rPr>
          <w:rFonts w:ascii="Times New Roman" w:hAnsi="Times New Roman"/>
          <w:sz w:val="24"/>
          <w:szCs w:val="24"/>
          <w:lang w:eastAsia="ru-RU"/>
        </w:rPr>
        <w:t>, налог</w:t>
      </w:r>
      <w:r w:rsidR="00E31FAA">
        <w:rPr>
          <w:rFonts w:ascii="Times New Roman" w:hAnsi="Times New Roman"/>
          <w:sz w:val="24"/>
          <w:szCs w:val="24"/>
          <w:lang w:eastAsia="ru-RU"/>
        </w:rPr>
        <w:t xml:space="preserve"> на доходы физических лиц 1054,6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72A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072A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18">
        <w:rPr>
          <w:rFonts w:ascii="Times New Roman" w:hAnsi="Times New Roman"/>
          <w:sz w:val="24"/>
          <w:szCs w:val="24"/>
          <w:lang w:eastAsia="ru-RU"/>
        </w:rPr>
        <w:t>Информация об исполнении муниципальног</w:t>
      </w:r>
      <w:r w:rsidR="00DB27E9" w:rsidRPr="009D7618">
        <w:rPr>
          <w:rFonts w:ascii="Times New Roman" w:hAnsi="Times New Roman"/>
          <w:sz w:val="24"/>
          <w:szCs w:val="24"/>
          <w:lang w:eastAsia="ru-RU"/>
        </w:rPr>
        <w:t>о дорожного фон</w:t>
      </w:r>
      <w:r w:rsidR="00E31FAA">
        <w:rPr>
          <w:rFonts w:ascii="Times New Roman" w:hAnsi="Times New Roman"/>
          <w:sz w:val="24"/>
          <w:szCs w:val="24"/>
          <w:lang w:eastAsia="ru-RU"/>
        </w:rPr>
        <w:t>да за 1 полугодие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года Администрацией МО представлена в составе пояснительной записки к отчету.</w:t>
      </w:r>
    </w:p>
    <w:p w:rsidR="007523EB" w:rsidRPr="007B2E48" w:rsidRDefault="007523EB" w:rsidP="005072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целом исполнение </w:t>
      </w:r>
      <w:r w:rsidR="00DB27E9">
        <w:rPr>
          <w:rFonts w:ascii="Times New Roman" w:hAnsi="Times New Roman"/>
          <w:sz w:val="24"/>
          <w:szCs w:val="24"/>
          <w:lang w:eastAsia="ru-RU"/>
        </w:rPr>
        <w:t>п</w:t>
      </w:r>
      <w:r w:rsidR="00E31FAA">
        <w:rPr>
          <w:rFonts w:ascii="Times New Roman" w:hAnsi="Times New Roman"/>
          <w:sz w:val="24"/>
          <w:szCs w:val="24"/>
          <w:lang w:eastAsia="ru-RU"/>
        </w:rPr>
        <w:t>о подразделу 0409 составило 5,6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% к годовым назначения</w:t>
      </w:r>
      <w:r w:rsidR="005072A6">
        <w:rPr>
          <w:rFonts w:ascii="Times New Roman" w:hAnsi="Times New Roman"/>
          <w:sz w:val="24"/>
          <w:szCs w:val="24"/>
          <w:lang w:eastAsia="ru-RU"/>
        </w:rPr>
        <w:t>м, а к аналогичному периоду 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E31FAA">
        <w:rPr>
          <w:rFonts w:ascii="Times New Roman" w:hAnsi="Times New Roman"/>
          <w:sz w:val="24"/>
          <w:szCs w:val="24"/>
          <w:lang w:eastAsia="ru-RU"/>
        </w:rPr>
        <w:t>составило 76,6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2E48">
        <w:rPr>
          <w:rFonts w:ascii="Times New Roman" w:hAnsi="Times New Roman"/>
          <w:sz w:val="24"/>
          <w:szCs w:val="24"/>
          <w:lang w:eastAsia="ru-RU"/>
        </w:rPr>
        <w:t xml:space="preserve">В отчетном периоде осуществлено финансирование </w:t>
      </w:r>
      <w:r w:rsidR="00061309" w:rsidRPr="007B2E48">
        <w:rPr>
          <w:rFonts w:ascii="Times New Roman" w:hAnsi="Times New Roman"/>
          <w:sz w:val="24"/>
          <w:szCs w:val="24"/>
          <w:lang w:eastAsia="ru-RU"/>
        </w:rPr>
        <w:t>соде</w:t>
      </w:r>
      <w:r w:rsidRPr="007B2E48">
        <w:rPr>
          <w:rFonts w:ascii="Times New Roman" w:hAnsi="Times New Roman"/>
          <w:sz w:val="24"/>
          <w:szCs w:val="24"/>
          <w:lang w:eastAsia="ru-RU"/>
        </w:rPr>
        <w:t>ржания</w:t>
      </w:r>
      <w:r w:rsidR="007B0610" w:rsidRPr="007B2E48">
        <w:rPr>
          <w:rFonts w:ascii="Times New Roman" w:hAnsi="Times New Roman"/>
          <w:sz w:val="24"/>
          <w:szCs w:val="24"/>
          <w:lang w:eastAsia="ru-RU"/>
        </w:rPr>
        <w:t xml:space="preserve"> и ремон</w:t>
      </w:r>
      <w:r w:rsidR="007104ED" w:rsidRPr="007B2E48">
        <w:rPr>
          <w:rFonts w:ascii="Times New Roman" w:hAnsi="Times New Roman"/>
          <w:sz w:val="24"/>
          <w:szCs w:val="24"/>
          <w:lang w:eastAsia="ru-RU"/>
        </w:rPr>
        <w:t>т</w:t>
      </w:r>
      <w:r w:rsidR="00DB27E9">
        <w:rPr>
          <w:rFonts w:ascii="Times New Roman" w:hAnsi="Times New Roman"/>
          <w:sz w:val="24"/>
          <w:szCs w:val="24"/>
          <w:lang w:eastAsia="ru-RU"/>
        </w:rPr>
        <w:t>а дорог</w:t>
      </w:r>
      <w:r w:rsidR="005072A6">
        <w:rPr>
          <w:rFonts w:ascii="Times New Roman" w:hAnsi="Times New Roman"/>
          <w:sz w:val="24"/>
          <w:szCs w:val="24"/>
          <w:lang w:eastAsia="ru-RU"/>
        </w:rPr>
        <w:t>.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23EB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3E79A4">
        <w:rPr>
          <w:rFonts w:ascii="Times New Roman" w:hAnsi="Times New Roman"/>
          <w:sz w:val="24"/>
          <w:szCs w:val="24"/>
          <w:lang w:eastAsia="ru-RU"/>
        </w:rPr>
        <w:t>ав</w:t>
      </w:r>
      <w:r w:rsidR="00E31FAA">
        <w:rPr>
          <w:rFonts w:ascii="Times New Roman" w:hAnsi="Times New Roman"/>
          <w:sz w:val="24"/>
          <w:szCs w:val="24"/>
          <w:lang w:eastAsia="ru-RU"/>
        </w:rPr>
        <w:t xml:space="preserve">или 289,9 </w:t>
      </w:r>
      <w:proofErr w:type="spellStart"/>
      <w:r w:rsidR="00E31FA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1FAA">
        <w:rPr>
          <w:rFonts w:ascii="Times New Roman" w:hAnsi="Times New Roman"/>
          <w:sz w:val="24"/>
          <w:szCs w:val="24"/>
          <w:lang w:eastAsia="ru-RU"/>
        </w:rPr>
        <w:t xml:space="preserve"> или 46,8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Default="00E31FAA" w:rsidP="00372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Произведены расходы в сумме 34,2</w:t>
      </w:r>
      <w:r w:rsidR="007523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23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23EB">
        <w:rPr>
          <w:rFonts w:ascii="Times New Roman" w:hAnsi="Times New Roman"/>
          <w:sz w:val="24"/>
          <w:szCs w:val="24"/>
          <w:lang w:eastAsia="ru-RU"/>
        </w:rPr>
        <w:t xml:space="preserve"> 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 (68,4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в том числе расходы на </w:t>
      </w:r>
      <w:r w:rsidR="005072A6">
        <w:rPr>
          <w:rFonts w:ascii="Times New Roman" w:hAnsi="Times New Roman"/>
          <w:sz w:val="24"/>
          <w:szCs w:val="24"/>
          <w:lang w:eastAsia="ru-RU"/>
        </w:rPr>
        <w:t>оценку рыночно</w:t>
      </w:r>
      <w:r>
        <w:rPr>
          <w:rFonts w:ascii="Times New Roman" w:hAnsi="Times New Roman"/>
          <w:sz w:val="24"/>
          <w:szCs w:val="24"/>
          <w:lang w:eastAsia="ru-RU"/>
        </w:rPr>
        <w:t>й стоимости земельных участков</w:t>
      </w:r>
      <w:r w:rsidR="00DB27E9"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1D73B4">
        <w:rPr>
          <w:rFonts w:ascii="Times New Roman" w:hAnsi="Times New Roman"/>
          <w:sz w:val="24"/>
          <w:szCs w:val="24"/>
          <w:lang w:eastAsia="ru-RU"/>
        </w:rPr>
        <w:t>ны на 32,3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="001D73B4">
        <w:rPr>
          <w:rFonts w:ascii="Times New Roman" w:hAnsi="Times New Roman"/>
          <w:sz w:val="24"/>
          <w:szCs w:val="24"/>
          <w:lang w:eastAsia="ru-RU"/>
        </w:rPr>
        <w:t xml:space="preserve"> или 7288,0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422120">
        <w:rPr>
          <w:rFonts w:ascii="Times New Roman" w:hAnsi="Times New Roman"/>
          <w:sz w:val="24"/>
          <w:szCs w:val="24"/>
          <w:lang w:eastAsia="ru-RU"/>
        </w:rPr>
        <w:t>ода сокращение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73B4">
        <w:rPr>
          <w:rFonts w:ascii="Times New Roman" w:hAnsi="Times New Roman"/>
          <w:sz w:val="24"/>
          <w:szCs w:val="24"/>
          <w:lang w:eastAsia="ru-RU"/>
        </w:rPr>
        <w:t>43,2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666" w:rsidRDefault="00DB27E9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ро</w:t>
      </w:r>
      <w:r w:rsidR="00912666">
        <w:rPr>
          <w:rFonts w:ascii="Times New Roman" w:hAnsi="Times New Roman"/>
          <w:sz w:val="24"/>
          <w:szCs w:val="24"/>
          <w:lang w:eastAsia="ru-RU"/>
        </w:rPr>
        <w:t>цент испол</w:t>
      </w:r>
      <w:r w:rsidR="00251812">
        <w:rPr>
          <w:rFonts w:ascii="Times New Roman" w:hAnsi="Times New Roman"/>
          <w:sz w:val="24"/>
          <w:szCs w:val="24"/>
          <w:lang w:eastAsia="ru-RU"/>
        </w:rPr>
        <w:t>н</w:t>
      </w:r>
      <w:r w:rsidR="001D73B4">
        <w:rPr>
          <w:rFonts w:ascii="Times New Roman" w:hAnsi="Times New Roman"/>
          <w:sz w:val="24"/>
          <w:szCs w:val="24"/>
          <w:lang w:eastAsia="ru-RU"/>
        </w:rPr>
        <w:t>ения плановых показателей – 33,9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51812">
        <w:rPr>
          <w:rFonts w:ascii="Times New Roman" w:hAnsi="Times New Roman"/>
          <w:sz w:val="24"/>
          <w:szCs w:val="24"/>
          <w:lang w:eastAsia="ru-RU"/>
        </w:rPr>
        <w:t>%  или</w:t>
      </w:r>
      <w:proofErr w:type="gramEnd"/>
      <w:r w:rsidR="00541D8B">
        <w:rPr>
          <w:rFonts w:ascii="Times New Roman" w:hAnsi="Times New Roman"/>
          <w:sz w:val="24"/>
          <w:szCs w:val="24"/>
          <w:lang w:eastAsia="ru-RU"/>
        </w:rPr>
        <w:t xml:space="preserve"> 726,9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12666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по подразделу </w:t>
      </w:r>
      <w:r w:rsidR="002E623A">
        <w:rPr>
          <w:rFonts w:ascii="Times New Roman" w:hAnsi="Times New Roman"/>
          <w:sz w:val="24"/>
          <w:szCs w:val="24"/>
          <w:lang w:eastAsia="ru-RU"/>
        </w:rPr>
        <w:t xml:space="preserve">0501 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912666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 В отчетный период 2020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года расходы направлены на </w:t>
      </w:r>
    </w:p>
    <w:p w:rsidR="00251812" w:rsidRDefault="00251812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541D8B">
        <w:rPr>
          <w:rFonts w:ascii="Times New Roman" w:hAnsi="Times New Roman"/>
          <w:sz w:val="24"/>
          <w:szCs w:val="24"/>
          <w:lang w:eastAsia="ru-RU"/>
        </w:rPr>
        <w:t>тального ремонта МКД ВО» - 244,8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Default="00912666" w:rsidP="004221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>-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оплату услуг по совершению операций 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по ведению учета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>за услуги по снятию с учета граждан</w:t>
      </w:r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 xml:space="preserve"> проживающих в </w:t>
      </w:r>
      <w:r w:rsidR="005E7EFE">
        <w:rPr>
          <w:rFonts w:ascii="Times New Roman" w:hAnsi="Times New Roman"/>
          <w:sz w:val="24"/>
          <w:szCs w:val="24"/>
          <w:lang w:eastAsia="ru-RU"/>
        </w:rPr>
        <w:t>муниципальном жилом фонде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51812">
        <w:rPr>
          <w:rFonts w:ascii="Times New Roman" w:hAnsi="Times New Roman"/>
          <w:sz w:val="24"/>
          <w:szCs w:val="24"/>
          <w:lang w:eastAsia="ru-RU"/>
        </w:rPr>
        <w:t>содержание и ремон</w:t>
      </w:r>
      <w:r w:rsidR="00422120">
        <w:rPr>
          <w:rFonts w:ascii="Times New Roman" w:hAnsi="Times New Roman"/>
          <w:sz w:val="24"/>
          <w:szCs w:val="24"/>
          <w:lang w:eastAsia="ru-RU"/>
        </w:rPr>
        <w:t>т</w:t>
      </w:r>
      <w:r w:rsidR="00541D8B">
        <w:rPr>
          <w:rFonts w:ascii="Times New Roman" w:hAnsi="Times New Roman"/>
          <w:sz w:val="24"/>
          <w:szCs w:val="24"/>
          <w:lang w:eastAsia="ru-RU"/>
        </w:rPr>
        <w:t xml:space="preserve"> мест общего пользования – 170,5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51812">
        <w:rPr>
          <w:rFonts w:ascii="Times New Roman" w:hAnsi="Times New Roman"/>
          <w:sz w:val="24"/>
          <w:szCs w:val="24"/>
          <w:lang w:eastAsia="ru-RU"/>
        </w:rPr>
        <w:t>,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-работы по текущему ремонту м</w:t>
      </w:r>
      <w:r w:rsidR="00541D8B">
        <w:rPr>
          <w:rFonts w:ascii="Times New Roman" w:hAnsi="Times New Roman"/>
          <w:sz w:val="24"/>
          <w:szCs w:val="24"/>
          <w:lang w:eastAsia="ru-RU"/>
        </w:rPr>
        <w:t>униципального жилого фонда 311,6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C51" w:rsidRDefault="00912666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по подразделу 0502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541D8B">
        <w:rPr>
          <w:rFonts w:ascii="Times New Roman" w:hAnsi="Times New Roman"/>
          <w:sz w:val="24"/>
          <w:szCs w:val="24"/>
          <w:lang w:eastAsia="ru-RU"/>
        </w:rPr>
        <w:t xml:space="preserve"> составило 1381,7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</w:t>
      </w:r>
      <w:r w:rsidR="00541D8B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541D8B">
        <w:rPr>
          <w:rFonts w:ascii="Times New Roman" w:hAnsi="Times New Roman"/>
          <w:sz w:val="24"/>
          <w:szCs w:val="24"/>
          <w:lang w:eastAsia="ru-RU"/>
        </w:rPr>
        <w:t>, что составило 18,9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% к годовому плану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сравнению с аналогичным периодом прошлого г</w:t>
      </w:r>
      <w:r w:rsidR="00251812">
        <w:rPr>
          <w:rFonts w:ascii="Times New Roman" w:hAnsi="Times New Roman"/>
          <w:sz w:val="24"/>
          <w:szCs w:val="24"/>
          <w:lang w:eastAsia="ru-RU"/>
        </w:rPr>
        <w:t>о</w:t>
      </w:r>
      <w:r w:rsidR="00422120">
        <w:rPr>
          <w:rFonts w:ascii="Times New Roman" w:hAnsi="Times New Roman"/>
          <w:sz w:val="24"/>
          <w:szCs w:val="24"/>
          <w:lang w:eastAsia="ru-RU"/>
        </w:rPr>
        <w:t>да расходы</w:t>
      </w:r>
      <w:r w:rsidR="00541D8B">
        <w:rPr>
          <w:rFonts w:ascii="Times New Roman" w:hAnsi="Times New Roman"/>
          <w:sz w:val="24"/>
          <w:szCs w:val="24"/>
          <w:lang w:eastAsia="ru-RU"/>
        </w:rPr>
        <w:t xml:space="preserve"> сократились на 888,1 </w:t>
      </w:r>
      <w:proofErr w:type="spellStart"/>
      <w:r w:rsidR="00541D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41D8B">
        <w:rPr>
          <w:rFonts w:ascii="Times New Roman" w:hAnsi="Times New Roman"/>
          <w:sz w:val="24"/>
          <w:szCs w:val="24"/>
          <w:lang w:eastAsia="ru-RU"/>
        </w:rPr>
        <w:t xml:space="preserve"> или на 39,1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3C51" w:rsidRDefault="00180DBC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>аны расходы на</w:t>
      </w:r>
      <w:r w:rsidR="00773C51">
        <w:rPr>
          <w:rFonts w:ascii="Times New Roman" w:hAnsi="Times New Roman"/>
          <w:sz w:val="24"/>
          <w:szCs w:val="24"/>
          <w:lang w:eastAsia="ru-RU"/>
        </w:rPr>
        <w:t>:</w:t>
      </w:r>
    </w:p>
    <w:p w:rsidR="005E7EFE" w:rsidRDefault="005E7EFE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-обслуживание газово-р</w:t>
      </w:r>
      <w:r w:rsidR="00422120">
        <w:rPr>
          <w:rFonts w:ascii="Times New Roman" w:hAnsi="Times New Roman"/>
          <w:sz w:val="24"/>
          <w:szCs w:val="24"/>
          <w:lang w:eastAsia="ru-RU"/>
        </w:rPr>
        <w:t>аспределительных установок</w:t>
      </w:r>
      <w:r w:rsidR="00541D8B">
        <w:rPr>
          <w:rFonts w:ascii="Times New Roman" w:hAnsi="Times New Roman"/>
          <w:sz w:val="24"/>
          <w:szCs w:val="24"/>
          <w:lang w:eastAsia="ru-RU"/>
        </w:rPr>
        <w:t>, приобретение основных средств и материальных запасов, составление сметной документации, работы по монтажу канализационных колодцев, ремонт сетей наружной канализации 580,3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251812" w:rsidRDefault="00251812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</w:t>
      </w:r>
      <w:r w:rsidR="005E7EFE">
        <w:rPr>
          <w:rFonts w:ascii="Times New Roman" w:hAnsi="Times New Roman"/>
          <w:sz w:val="24"/>
          <w:szCs w:val="24"/>
          <w:lang w:eastAsia="ru-RU"/>
        </w:rPr>
        <w:t>а</w:t>
      </w:r>
      <w:r w:rsidR="00541D8B">
        <w:rPr>
          <w:rFonts w:ascii="Times New Roman" w:hAnsi="Times New Roman"/>
          <w:sz w:val="24"/>
          <w:szCs w:val="24"/>
          <w:lang w:eastAsia="ru-RU"/>
        </w:rPr>
        <w:t>ция уличного освещения – 801,4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2212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22120"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1CF" w:rsidRDefault="00EB0FF3" w:rsidP="00093F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ED23E6">
        <w:rPr>
          <w:rFonts w:ascii="Times New Roman" w:hAnsi="Times New Roman"/>
          <w:sz w:val="24"/>
          <w:szCs w:val="24"/>
          <w:lang w:eastAsia="ru-RU"/>
        </w:rPr>
        <w:t xml:space="preserve"> за 1 полугодие 2020 года составили 5179,4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ED23E6">
        <w:rPr>
          <w:rFonts w:ascii="Times New Roman" w:hAnsi="Times New Roman"/>
          <w:sz w:val="24"/>
          <w:szCs w:val="24"/>
          <w:lang w:eastAsia="ru-RU"/>
        </w:rPr>
        <w:t>ли 39,6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ED23E6">
        <w:rPr>
          <w:rFonts w:ascii="Times New Roman" w:hAnsi="Times New Roman"/>
          <w:sz w:val="24"/>
          <w:szCs w:val="24"/>
          <w:lang w:eastAsia="ru-RU"/>
        </w:rPr>
        <w:t>начений и 50,5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2120">
        <w:rPr>
          <w:rFonts w:ascii="Times New Roman" w:hAnsi="Times New Roman"/>
          <w:sz w:val="24"/>
          <w:szCs w:val="24"/>
          <w:lang w:eastAsia="ru-RU"/>
        </w:rPr>
        <w:t>2019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Default="00180DBC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 фи</w:t>
      </w:r>
      <w:r w:rsidR="009E41CF">
        <w:rPr>
          <w:rFonts w:ascii="Times New Roman" w:hAnsi="Times New Roman"/>
          <w:sz w:val="24"/>
          <w:szCs w:val="24"/>
          <w:lang w:eastAsia="ru-RU"/>
        </w:rPr>
        <w:t>нансирование направлено:</w:t>
      </w:r>
    </w:p>
    <w:p w:rsidR="00ED23E6" w:rsidRDefault="00ED23E6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-передачу полномочий на реализацию мероприятий по благоустройству дворовых и общественных территорий – 215,5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E41CF" w:rsidRPr="00540524" w:rsidRDefault="009E41CF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 на организацию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уличного</w:t>
      </w:r>
      <w:r w:rsidR="00ED23E6">
        <w:rPr>
          <w:rFonts w:ascii="Times New Roman" w:hAnsi="Times New Roman"/>
          <w:sz w:val="24"/>
          <w:szCs w:val="24"/>
          <w:lang w:eastAsia="ru-RU"/>
        </w:rPr>
        <w:t xml:space="preserve"> освещения 2748,4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 w:rsidRPr="00540524">
        <w:rPr>
          <w:rFonts w:ascii="Times New Roman" w:hAnsi="Times New Roman"/>
          <w:sz w:val="24"/>
          <w:szCs w:val="24"/>
          <w:lang w:eastAsia="ru-RU"/>
        </w:rPr>
        <w:t>,</w:t>
      </w:r>
      <w:r w:rsidR="00093FA1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70F2" w:rsidRDefault="00D270F2" w:rsidP="00D270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-содержание городского кладбища – 69,3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E41CF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E7EFE">
        <w:rPr>
          <w:rFonts w:ascii="Times New Roman" w:hAnsi="Times New Roman"/>
          <w:sz w:val="24"/>
          <w:szCs w:val="24"/>
          <w:lang w:eastAsia="ru-RU"/>
        </w:rPr>
        <w:t>прочие мероприятия: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F2">
        <w:rPr>
          <w:rFonts w:ascii="Times New Roman" w:hAnsi="Times New Roman"/>
          <w:sz w:val="24"/>
          <w:szCs w:val="24"/>
          <w:lang w:eastAsia="ru-RU"/>
        </w:rPr>
        <w:t>ПСД «Благоустройство дворовых территорий», строительство насосной станции</w:t>
      </w:r>
      <w:r w:rsidR="00ED23E6">
        <w:rPr>
          <w:rFonts w:ascii="Times New Roman" w:hAnsi="Times New Roman"/>
          <w:sz w:val="24"/>
          <w:szCs w:val="24"/>
          <w:lang w:eastAsia="ru-RU"/>
        </w:rPr>
        <w:t xml:space="preserve"> на набережной реки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4052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и ремонт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EFE">
        <w:rPr>
          <w:rFonts w:ascii="Times New Roman" w:hAnsi="Times New Roman"/>
          <w:sz w:val="24"/>
          <w:szCs w:val="24"/>
          <w:lang w:eastAsia="ru-RU"/>
        </w:rPr>
        <w:t>тротуаров и парковых зон</w:t>
      </w:r>
      <w:r w:rsidR="00CA0412">
        <w:rPr>
          <w:rFonts w:ascii="Times New Roman" w:hAnsi="Times New Roman"/>
          <w:sz w:val="24"/>
          <w:szCs w:val="24"/>
          <w:lang w:eastAsia="ru-RU"/>
        </w:rPr>
        <w:t>,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F2">
        <w:rPr>
          <w:rFonts w:ascii="Times New Roman" w:hAnsi="Times New Roman"/>
          <w:sz w:val="24"/>
          <w:szCs w:val="24"/>
          <w:lang w:eastAsia="ru-RU"/>
        </w:rPr>
        <w:t>оплата услуг по тех-экономическому и финансовому обоснованию п</w:t>
      </w:r>
      <w:r w:rsidR="00ED23E6">
        <w:rPr>
          <w:rFonts w:ascii="Times New Roman" w:hAnsi="Times New Roman"/>
          <w:sz w:val="24"/>
          <w:szCs w:val="24"/>
          <w:lang w:eastAsia="ru-RU"/>
        </w:rPr>
        <w:t>роекта «Детский городок», ПСД на ликвидацию несанкционированной свалки, благоустройство общественной территории, сан-</w:t>
      </w:r>
      <w:proofErr w:type="spellStart"/>
      <w:r w:rsidR="00ED23E6">
        <w:rPr>
          <w:rFonts w:ascii="Times New Roman" w:hAnsi="Times New Roman"/>
          <w:sz w:val="24"/>
          <w:szCs w:val="24"/>
          <w:lang w:eastAsia="ru-RU"/>
        </w:rPr>
        <w:t>эпид</w:t>
      </w:r>
      <w:proofErr w:type="spellEnd"/>
      <w:r w:rsidR="00ED23E6">
        <w:rPr>
          <w:rFonts w:ascii="Times New Roman" w:hAnsi="Times New Roman"/>
          <w:sz w:val="24"/>
          <w:szCs w:val="24"/>
          <w:lang w:eastAsia="ru-RU"/>
        </w:rPr>
        <w:t xml:space="preserve"> услуги. текущий ремонт мемориал комплекса, запуск и пуско-наладка оборудования фонтана, </w:t>
      </w:r>
      <w:r w:rsidR="00D86874">
        <w:rPr>
          <w:rFonts w:ascii="Times New Roman" w:hAnsi="Times New Roman"/>
          <w:sz w:val="24"/>
          <w:szCs w:val="24"/>
          <w:lang w:eastAsia="ru-RU"/>
        </w:rPr>
        <w:t>работы по установке контейнеров для накопления ТКО, проведение дезинсекции открытых территорий, приобретение памятных плит на воинское кладбище</w:t>
      </w:r>
      <w:r w:rsidR="00ED23E6">
        <w:rPr>
          <w:rFonts w:ascii="Times New Roman" w:hAnsi="Times New Roman"/>
          <w:sz w:val="24"/>
          <w:szCs w:val="24"/>
          <w:lang w:eastAsia="ru-RU"/>
        </w:rPr>
        <w:t xml:space="preserve">  – 1757,6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687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86874">
        <w:rPr>
          <w:rFonts w:ascii="Times New Roman" w:hAnsi="Times New Roman"/>
          <w:sz w:val="24"/>
          <w:szCs w:val="24"/>
          <w:lang w:eastAsia="ru-RU"/>
        </w:rPr>
        <w:t>,</w:t>
      </w:r>
    </w:p>
    <w:p w:rsidR="00D86874" w:rsidRDefault="00D86874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-содержание городского кладбища – 271,3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D86874" w:rsidRDefault="00D86874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-реализация проекта «Народный бюджет» приобретение новогодней ели – 186,6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41CF" w:rsidRPr="00540524" w:rsidRDefault="009E41CF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Pr="00540524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07 «Образование»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0524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540524">
        <w:rPr>
          <w:rFonts w:ascii="Times New Roman" w:hAnsi="Times New Roman"/>
          <w:sz w:val="24"/>
          <w:szCs w:val="24"/>
          <w:lang w:eastAsia="ru-RU"/>
        </w:rPr>
        <w:t xml:space="preserve">инансирование 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>в</w:t>
      </w:r>
      <w:r w:rsidR="00D86874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81,9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 w:rsidRPr="00540524">
        <w:rPr>
          <w:rFonts w:ascii="Times New Roman" w:hAnsi="Times New Roman"/>
          <w:sz w:val="24"/>
          <w:szCs w:val="24"/>
          <w:lang w:eastAsia="ru-RU"/>
        </w:rPr>
        <w:t>тыс.р</w:t>
      </w:r>
      <w:r w:rsidR="00D86874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="00D86874">
        <w:rPr>
          <w:rFonts w:ascii="Times New Roman" w:hAnsi="Times New Roman"/>
          <w:sz w:val="24"/>
          <w:szCs w:val="24"/>
          <w:lang w:eastAsia="ru-RU"/>
        </w:rPr>
        <w:t>, или 50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540524"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D73" w:rsidRDefault="004644B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="00FF0686" w:rsidRPr="00540524">
        <w:rPr>
          <w:rFonts w:ascii="Times New Roman" w:hAnsi="Times New Roman"/>
          <w:sz w:val="24"/>
          <w:szCs w:val="24"/>
          <w:lang w:eastAsia="ru-RU"/>
        </w:rPr>
        <w:t xml:space="preserve"> за отчетный </w:t>
      </w:r>
      <w:r w:rsidR="00E16D73">
        <w:rPr>
          <w:rFonts w:ascii="Times New Roman" w:hAnsi="Times New Roman"/>
          <w:sz w:val="24"/>
          <w:szCs w:val="24"/>
          <w:lang w:eastAsia="ru-RU"/>
        </w:rPr>
        <w:t>период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86874">
        <w:rPr>
          <w:rFonts w:ascii="Times New Roman" w:hAnsi="Times New Roman"/>
          <w:sz w:val="24"/>
          <w:szCs w:val="24"/>
          <w:lang w:eastAsia="ru-RU"/>
        </w:rPr>
        <w:t>а составило 47,5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540524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D86874">
        <w:rPr>
          <w:rFonts w:ascii="Times New Roman" w:hAnsi="Times New Roman"/>
          <w:sz w:val="24"/>
          <w:szCs w:val="24"/>
          <w:lang w:eastAsia="ru-RU"/>
        </w:rPr>
        <w:t>2820,0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86874">
        <w:rPr>
          <w:rFonts w:ascii="Times New Roman" w:hAnsi="Times New Roman"/>
          <w:sz w:val="24"/>
          <w:szCs w:val="24"/>
          <w:lang w:eastAsia="ru-RU"/>
        </w:rPr>
        <w:t xml:space="preserve"> (109,6 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>% к уровню прошлого года)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D73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функционир</w:t>
      </w:r>
      <w:r w:rsidR="00E61C93" w:rsidRPr="00540524">
        <w:rPr>
          <w:rFonts w:ascii="Times New Roman" w:hAnsi="Times New Roman"/>
          <w:sz w:val="24"/>
          <w:szCs w:val="24"/>
          <w:lang w:eastAsia="ru-RU"/>
        </w:rPr>
        <w:t>о</w:t>
      </w:r>
      <w:r w:rsidR="00734D35" w:rsidRPr="00540524">
        <w:rPr>
          <w:rFonts w:ascii="Times New Roman" w:hAnsi="Times New Roman"/>
          <w:sz w:val="24"/>
          <w:szCs w:val="24"/>
          <w:lang w:eastAsia="ru-RU"/>
        </w:rPr>
        <w:t>вание учреждения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культуры (обеспечение вып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олнения </w:t>
      </w:r>
      <w:r w:rsidR="00D86874">
        <w:rPr>
          <w:rFonts w:ascii="Times New Roman" w:hAnsi="Times New Roman"/>
          <w:sz w:val="24"/>
          <w:szCs w:val="24"/>
          <w:lang w:eastAsia="ru-RU"/>
        </w:rPr>
        <w:t>муниципального задания) – 2270,0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A764D" w:rsidRPr="00540524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финансирование переданных полномочий по библиотечном</w:t>
      </w:r>
      <w:r w:rsidR="00D86874">
        <w:rPr>
          <w:rFonts w:ascii="Times New Roman" w:hAnsi="Times New Roman"/>
          <w:sz w:val="24"/>
          <w:szCs w:val="24"/>
          <w:lang w:eastAsia="ru-RU"/>
        </w:rPr>
        <w:t>у обслуживанию населения – 550,0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D86874">
        <w:rPr>
          <w:rFonts w:ascii="Times New Roman" w:hAnsi="Times New Roman"/>
          <w:sz w:val="24"/>
          <w:szCs w:val="24"/>
          <w:lang w:eastAsia="ru-RU"/>
        </w:rPr>
        <w:t>чение) произведено в сумме 133,9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D86874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D86874">
        <w:rPr>
          <w:rFonts w:ascii="Times New Roman" w:hAnsi="Times New Roman"/>
          <w:sz w:val="24"/>
          <w:szCs w:val="24"/>
          <w:lang w:eastAsia="ru-RU"/>
        </w:rPr>
        <w:t xml:space="preserve"> или 50</w:t>
      </w:r>
      <w:r w:rsidR="00D270F2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4A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D86874">
        <w:rPr>
          <w:rFonts w:ascii="Times New Roman" w:hAnsi="Times New Roman"/>
          <w:sz w:val="24"/>
          <w:szCs w:val="24"/>
          <w:lang w:eastAsia="ru-RU"/>
        </w:rPr>
        <w:t xml:space="preserve">ставило 793,9 </w:t>
      </w:r>
      <w:proofErr w:type="spellStart"/>
      <w:r w:rsidR="00D8687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86874">
        <w:rPr>
          <w:rFonts w:ascii="Times New Roman" w:hAnsi="Times New Roman"/>
          <w:sz w:val="24"/>
          <w:szCs w:val="24"/>
          <w:lang w:eastAsia="ru-RU"/>
        </w:rPr>
        <w:t xml:space="preserve"> или 50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,0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="00734D35">
        <w:rPr>
          <w:rFonts w:ascii="Times New Roman" w:hAnsi="Times New Roman"/>
          <w:sz w:val="24"/>
          <w:szCs w:val="24"/>
          <w:lang w:eastAsia="ru-RU"/>
        </w:rPr>
        <w:t>Средства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734D35">
        <w:rPr>
          <w:rFonts w:ascii="Times New Roman" w:hAnsi="Times New Roman"/>
          <w:sz w:val="24"/>
          <w:szCs w:val="24"/>
          <w:lang w:eastAsia="ru-RU"/>
        </w:rPr>
        <w:t>.</w:t>
      </w:r>
    </w:p>
    <w:p w:rsidR="00734D35" w:rsidRPr="0028413C" w:rsidRDefault="00734D3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CA0412">
        <w:rPr>
          <w:rFonts w:ascii="Times New Roman" w:hAnsi="Times New Roman"/>
          <w:sz w:val="24"/>
          <w:szCs w:val="24"/>
          <w:lang w:eastAsia="ru-RU"/>
        </w:rPr>
        <w:t>периоде произведено в сум</w:t>
      </w:r>
      <w:r w:rsidR="00D86874">
        <w:rPr>
          <w:rFonts w:ascii="Times New Roman" w:hAnsi="Times New Roman"/>
          <w:sz w:val="24"/>
          <w:szCs w:val="24"/>
          <w:lang w:eastAsia="ru-RU"/>
        </w:rPr>
        <w:t xml:space="preserve">ме 38,2 </w:t>
      </w:r>
      <w:proofErr w:type="spellStart"/>
      <w:r w:rsidR="00D8687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86874">
        <w:rPr>
          <w:rFonts w:ascii="Times New Roman" w:hAnsi="Times New Roman"/>
          <w:sz w:val="24"/>
          <w:szCs w:val="24"/>
          <w:lang w:eastAsia="ru-RU"/>
        </w:rPr>
        <w:t xml:space="preserve"> или 35,7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874" w:rsidRDefault="00390AEA" w:rsidP="004435C7">
      <w:pPr>
        <w:spacing w:after="0" w:line="240" w:lineRule="auto"/>
        <w:ind w:firstLine="8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D270F2">
        <w:rPr>
          <w:rFonts w:ascii="Times New Roman" w:hAnsi="Times New Roman"/>
          <w:sz w:val="24"/>
          <w:szCs w:val="24"/>
          <w:lang w:eastAsia="ru-RU"/>
        </w:rPr>
        <w:t>2020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D270F2">
        <w:rPr>
          <w:rFonts w:ascii="Times New Roman" w:hAnsi="Times New Roman"/>
          <w:sz w:val="24"/>
          <w:szCs w:val="24"/>
          <w:lang w:eastAsia="ru-RU"/>
        </w:rPr>
        <w:t xml:space="preserve"> по разделам </w:t>
      </w:r>
      <w:r w:rsidR="00D86874">
        <w:rPr>
          <w:rFonts w:ascii="Times New Roman" w:hAnsi="Times New Roman"/>
          <w:bCs/>
          <w:sz w:val="24"/>
          <w:szCs w:val="24"/>
          <w:lang w:eastAsia="ru-RU"/>
        </w:rPr>
        <w:t>04 «Национальная экономика»</w:t>
      </w:r>
      <w:r w:rsidR="004435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6D73">
        <w:rPr>
          <w:rFonts w:ascii="Times New Roman" w:hAnsi="Times New Roman"/>
          <w:bCs/>
          <w:sz w:val="24"/>
          <w:szCs w:val="24"/>
          <w:lang w:eastAsia="ru-RU"/>
        </w:rPr>
        <w:t>03 «</w:t>
      </w:r>
      <w:r w:rsidR="00E16D73" w:rsidRPr="00E16D73">
        <w:rPr>
          <w:rFonts w:ascii="Times New Roman" w:hAnsi="Times New Roman"/>
          <w:bCs/>
          <w:sz w:val="24"/>
          <w:szCs w:val="24"/>
          <w:lang w:eastAsia="ru-RU"/>
        </w:rPr>
        <w:t>«Национальная безопасность и правоохранительная деятельность»</w:t>
      </w:r>
      <w:r w:rsidR="00D8687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D0A2A" w:rsidRDefault="00D270F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07 «Образование» и 10</w:t>
      </w:r>
      <w:r w:rsidR="004435C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«Социальная политика»</w:t>
      </w:r>
      <w:r w:rsidR="00D86874">
        <w:rPr>
          <w:rFonts w:ascii="Times New Roman" w:hAnsi="Times New Roman"/>
          <w:bCs/>
          <w:sz w:val="24"/>
          <w:szCs w:val="24"/>
          <w:lang w:eastAsia="ru-RU"/>
        </w:rPr>
        <w:t>. 11 «Физическая культура и спорт», 08 «Культура, кинематография».</w:t>
      </w:r>
    </w:p>
    <w:p w:rsidR="00CD0A2A" w:rsidRDefault="00CD0A2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C94" w:rsidRDefault="00682C9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2C94">
        <w:rPr>
          <w:rFonts w:ascii="Times New Roman" w:hAnsi="Times New Roman"/>
          <w:b/>
          <w:sz w:val="24"/>
          <w:szCs w:val="24"/>
        </w:rPr>
        <w:t>Анализ состояния дебиторской и кредиторской задолженности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Pr="00682C94">
        <w:rPr>
          <w:rFonts w:ascii="Times New Roman" w:hAnsi="Times New Roman"/>
          <w:sz w:val="24"/>
          <w:szCs w:val="24"/>
        </w:rPr>
        <w:t>отчетн</w:t>
      </w:r>
      <w:r>
        <w:rPr>
          <w:rFonts w:ascii="Times New Roman" w:hAnsi="Times New Roman"/>
          <w:sz w:val="24"/>
          <w:szCs w:val="24"/>
        </w:rPr>
        <w:t>ости 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состоянию на 01.07.2020</w:t>
      </w:r>
      <w:r w:rsidRPr="00682C94">
        <w:rPr>
          <w:rFonts w:ascii="Times New Roman" w:hAnsi="Times New Roman"/>
          <w:sz w:val="24"/>
          <w:szCs w:val="24"/>
        </w:rPr>
        <w:t xml:space="preserve"> года (бухгалтерская отчетность ф. 0503169). 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В ходе исполнения решения Городского Совета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«Город Вытегра» от</w:t>
      </w:r>
      <w:r w:rsidRPr="00682C94">
        <w:rPr>
          <w:rFonts w:ascii="Times New Roman" w:hAnsi="Times New Roman"/>
          <w:sz w:val="24"/>
          <w:szCs w:val="24"/>
        </w:rPr>
        <w:t xml:space="preserve"> 10.12.2019 года № 138 «О бюджете муниципального образования «Город Вытегра» на 2020 год и плановый период 2021 и 2022 года»</w:t>
      </w:r>
      <w:r w:rsidR="00F03F09">
        <w:rPr>
          <w:rFonts w:ascii="Times New Roman" w:hAnsi="Times New Roman"/>
          <w:sz w:val="24"/>
          <w:szCs w:val="24"/>
        </w:rPr>
        <w:t xml:space="preserve"> </w:t>
      </w:r>
      <w:r w:rsidRPr="00682C94">
        <w:rPr>
          <w:rFonts w:ascii="Times New Roman" w:hAnsi="Times New Roman"/>
          <w:sz w:val="24"/>
          <w:szCs w:val="24"/>
        </w:rPr>
        <w:t>главным</w:t>
      </w:r>
      <w:r w:rsidR="00F03F09">
        <w:rPr>
          <w:rFonts w:ascii="Times New Roman" w:hAnsi="Times New Roman"/>
          <w:sz w:val="24"/>
          <w:szCs w:val="24"/>
        </w:rPr>
        <w:t>и распорядителями</w:t>
      </w:r>
      <w:r w:rsidRPr="00682C94">
        <w:rPr>
          <w:rFonts w:ascii="Times New Roman" w:hAnsi="Times New Roman"/>
          <w:sz w:val="24"/>
          <w:szCs w:val="24"/>
        </w:rPr>
        <w:t xml:space="preserve"> бюджета МО допущено отвлечение бюджетных средств в дебиторскую задолженность.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Согласно отчета дебиторская задолженность по бюджету МО (без расчетов с дебиторами по доходам, по бюджетным кредитам) в течение отчетно</w:t>
      </w:r>
      <w:r w:rsidR="00F03F09">
        <w:rPr>
          <w:rFonts w:ascii="Times New Roman" w:hAnsi="Times New Roman"/>
          <w:sz w:val="24"/>
          <w:szCs w:val="24"/>
        </w:rPr>
        <w:t>го периода увеличилась на 4830,0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</w:t>
      </w:r>
      <w:r w:rsidR="00F03F09">
        <w:rPr>
          <w:rFonts w:ascii="Times New Roman" w:hAnsi="Times New Roman"/>
          <w:sz w:val="24"/>
          <w:szCs w:val="24"/>
        </w:rPr>
        <w:t>лей</w:t>
      </w:r>
      <w:proofErr w:type="spellEnd"/>
      <w:r w:rsidR="00F03F09">
        <w:rPr>
          <w:rFonts w:ascii="Times New Roman" w:hAnsi="Times New Roman"/>
          <w:sz w:val="24"/>
          <w:szCs w:val="24"/>
        </w:rPr>
        <w:t xml:space="preserve"> и по состоянию на 01.07.2020</w:t>
      </w:r>
      <w:r w:rsidRPr="00682C94">
        <w:rPr>
          <w:rFonts w:ascii="Times New Roman" w:hAnsi="Times New Roman"/>
          <w:sz w:val="24"/>
          <w:szCs w:val="24"/>
        </w:rPr>
        <w:t xml:space="preserve"> года с</w:t>
      </w:r>
      <w:r w:rsidR="00F03F09">
        <w:rPr>
          <w:rFonts w:ascii="Times New Roman" w:hAnsi="Times New Roman"/>
          <w:sz w:val="24"/>
          <w:szCs w:val="24"/>
        </w:rPr>
        <w:t>оставляет 6811,5</w:t>
      </w:r>
      <w:r w:rsidRPr="00682C94">
        <w:rPr>
          <w:rFonts w:ascii="Times New Roman" w:hAnsi="Times New Roman"/>
          <w:sz w:val="24"/>
          <w:szCs w:val="24"/>
        </w:rPr>
        <w:t xml:space="preserve"> тыс. рублей.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Состояние дебитор</w:t>
      </w:r>
      <w:r w:rsidR="00F03F09">
        <w:rPr>
          <w:rFonts w:ascii="Times New Roman" w:hAnsi="Times New Roman"/>
          <w:sz w:val="24"/>
          <w:szCs w:val="24"/>
        </w:rPr>
        <w:t>ской задолженности на 01.07.2020</w:t>
      </w:r>
      <w:r w:rsidRPr="00682C94">
        <w:rPr>
          <w:rFonts w:ascii="Times New Roman" w:hAnsi="Times New Roman"/>
          <w:sz w:val="24"/>
          <w:szCs w:val="24"/>
        </w:rPr>
        <w:t xml:space="preserve"> года характеризуется следующими данными: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-задолженность по счету 120600000 «Расчеты по вы</w:t>
      </w:r>
      <w:r w:rsidR="00F03F09">
        <w:rPr>
          <w:rFonts w:ascii="Times New Roman" w:hAnsi="Times New Roman"/>
          <w:sz w:val="24"/>
          <w:szCs w:val="24"/>
        </w:rPr>
        <w:t xml:space="preserve">данным авансам» составила 6612,9 </w:t>
      </w:r>
      <w:proofErr w:type="spellStart"/>
      <w:r w:rsidR="00F03F0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03F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3F09">
        <w:rPr>
          <w:rFonts w:ascii="Times New Roman" w:hAnsi="Times New Roman"/>
          <w:sz w:val="24"/>
          <w:szCs w:val="24"/>
        </w:rPr>
        <w:t>( +</w:t>
      </w:r>
      <w:proofErr w:type="gramEnd"/>
      <w:r w:rsidR="00F03F09">
        <w:rPr>
          <w:rFonts w:ascii="Times New Roman" w:hAnsi="Times New Roman"/>
          <w:sz w:val="24"/>
          <w:szCs w:val="24"/>
        </w:rPr>
        <w:t xml:space="preserve"> 4757,9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к началу года);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-задолженность по счету 120800000 «Расчеты с подотчетными лицами» отсутствует; 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-задолженность по счету 120900000 «Расчеты по ущербу и иным доходам» составила 126,5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(на начало года 126,5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>)</w:t>
      </w:r>
      <w:r w:rsidR="00F03F09">
        <w:rPr>
          <w:rFonts w:ascii="Times New Roman" w:hAnsi="Times New Roman"/>
          <w:sz w:val="24"/>
          <w:szCs w:val="24"/>
        </w:rPr>
        <w:t>. Задолженность не изменяется с прошлого года</w:t>
      </w:r>
      <w:r w:rsidRPr="00682C94">
        <w:rPr>
          <w:rFonts w:ascii="Times New Roman" w:hAnsi="Times New Roman"/>
          <w:sz w:val="24"/>
          <w:szCs w:val="24"/>
        </w:rPr>
        <w:t>;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-задолженность по счету 130300000 «Расчеты по плат</w:t>
      </w:r>
      <w:r w:rsidR="00F03F09">
        <w:rPr>
          <w:rFonts w:ascii="Times New Roman" w:hAnsi="Times New Roman"/>
          <w:sz w:val="24"/>
          <w:szCs w:val="24"/>
        </w:rPr>
        <w:t xml:space="preserve">ежам в бюджеты» составила 72,1 </w:t>
      </w:r>
      <w:proofErr w:type="spellStart"/>
      <w:r w:rsidR="00F03F0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03F09">
        <w:rPr>
          <w:rFonts w:ascii="Times New Roman" w:hAnsi="Times New Roman"/>
          <w:sz w:val="24"/>
          <w:szCs w:val="24"/>
        </w:rPr>
        <w:t xml:space="preserve"> (+72,1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к началу года).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 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По данным годового отчета об исполнении бюджета МО просроченная дебитор</w:t>
      </w:r>
      <w:r w:rsidR="00F03F09">
        <w:rPr>
          <w:rFonts w:ascii="Times New Roman" w:hAnsi="Times New Roman"/>
          <w:sz w:val="24"/>
          <w:szCs w:val="24"/>
        </w:rPr>
        <w:t xml:space="preserve">ская задолженность на 01.01.2020 года составляла 2611,3 </w:t>
      </w:r>
      <w:proofErr w:type="spellStart"/>
      <w:r w:rsidR="00F03F0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03F09">
        <w:rPr>
          <w:rFonts w:ascii="Times New Roman" w:hAnsi="Times New Roman"/>
          <w:sz w:val="24"/>
          <w:szCs w:val="24"/>
        </w:rPr>
        <w:t>. На 01.07.2020</w:t>
      </w:r>
      <w:r w:rsidRPr="00682C94">
        <w:rPr>
          <w:rFonts w:ascii="Times New Roman" w:hAnsi="Times New Roman"/>
          <w:sz w:val="24"/>
          <w:szCs w:val="24"/>
        </w:rPr>
        <w:t xml:space="preserve"> просроченная дебиторская за</w:t>
      </w:r>
      <w:r w:rsidR="00F03F09">
        <w:rPr>
          <w:rFonts w:ascii="Times New Roman" w:hAnsi="Times New Roman"/>
          <w:sz w:val="24"/>
          <w:szCs w:val="24"/>
        </w:rPr>
        <w:t>долженность 2482,5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F0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03F09">
        <w:rPr>
          <w:rFonts w:ascii="Times New Roman" w:hAnsi="Times New Roman"/>
          <w:sz w:val="24"/>
          <w:szCs w:val="24"/>
        </w:rPr>
        <w:t>. Сокращение на 128,8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>, Просроченная задолженность сформировалась по счету 120500000 «Расчеты по доходам».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lastRenderedPageBreak/>
        <w:t xml:space="preserve">Согласно сведений ф. 0503169 кредиторская задолженность (без учета внутренних долговых обязательств) по бюджетной </w:t>
      </w:r>
      <w:r w:rsidR="00F03F09">
        <w:rPr>
          <w:rFonts w:ascii="Times New Roman" w:hAnsi="Times New Roman"/>
          <w:sz w:val="24"/>
          <w:szCs w:val="24"/>
        </w:rPr>
        <w:t>деятельности за 1 полугодие 2020 года сократилась на 3412,7</w:t>
      </w:r>
      <w:r w:rsidRPr="00682C94">
        <w:rPr>
          <w:rFonts w:ascii="Times New Roman" w:hAnsi="Times New Roman"/>
          <w:sz w:val="24"/>
          <w:szCs w:val="24"/>
        </w:rPr>
        <w:t xml:space="preserve"> тыс. рублей и сост</w:t>
      </w:r>
      <w:r w:rsidR="00F03F09">
        <w:rPr>
          <w:rFonts w:ascii="Times New Roman" w:hAnsi="Times New Roman"/>
          <w:sz w:val="24"/>
          <w:szCs w:val="24"/>
        </w:rPr>
        <w:t>авила по состоянию на 01.07.2020 года 3260,5</w:t>
      </w:r>
      <w:r w:rsidRPr="00682C94">
        <w:rPr>
          <w:rFonts w:ascii="Times New Roman" w:hAnsi="Times New Roman"/>
          <w:sz w:val="24"/>
          <w:szCs w:val="24"/>
        </w:rPr>
        <w:t xml:space="preserve"> тыс. рублей. Задолженность является текущей.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Состояние кредитор</w:t>
      </w:r>
      <w:r w:rsidR="00F03F09">
        <w:rPr>
          <w:rFonts w:ascii="Times New Roman" w:hAnsi="Times New Roman"/>
          <w:sz w:val="24"/>
          <w:szCs w:val="24"/>
        </w:rPr>
        <w:t>ской задолженности на 01.07.2020</w:t>
      </w:r>
      <w:r w:rsidRPr="00682C94">
        <w:rPr>
          <w:rFonts w:ascii="Times New Roman" w:hAnsi="Times New Roman"/>
          <w:sz w:val="24"/>
          <w:szCs w:val="24"/>
        </w:rPr>
        <w:t xml:space="preserve"> года характеризуется следующими данными: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-задолженность по доходам (счет 120500000 «Расче</w:t>
      </w:r>
      <w:r w:rsidR="00F03F09">
        <w:rPr>
          <w:rFonts w:ascii="Times New Roman" w:hAnsi="Times New Roman"/>
          <w:sz w:val="24"/>
          <w:szCs w:val="24"/>
        </w:rPr>
        <w:t>ты по доходам») составила 2500,8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(главный администратор доходов – Администрация муниципального образования «Город Вытегра»). Сокращен</w:t>
      </w:r>
      <w:r w:rsidR="00F03F09">
        <w:rPr>
          <w:rFonts w:ascii="Times New Roman" w:hAnsi="Times New Roman"/>
          <w:sz w:val="24"/>
          <w:szCs w:val="24"/>
        </w:rPr>
        <w:t xml:space="preserve">ие к началу года составил 1733,0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>;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  -задолженность перед подотчетными лицами (счет 120800000 «Расчеты с подотчет</w:t>
      </w:r>
      <w:r w:rsidR="00F03F09">
        <w:rPr>
          <w:rFonts w:ascii="Times New Roman" w:hAnsi="Times New Roman"/>
          <w:sz w:val="24"/>
          <w:szCs w:val="24"/>
        </w:rPr>
        <w:t>ными лицами») отсутствует ( -2,2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к началу года);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>-задолженность перед поставщиками и подрядчиками (счет 130200000 «Расчеты с поставщ</w:t>
      </w:r>
      <w:r w:rsidR="00F03F09">
        <w:rPr>
          <w:rFonts w:ascii="Times New Roman" w:hAnsi="Times New Roman"/>
          <w:sz w:val="24"/>
          <w:szCs w:val="24"/>
        </w:rPr>
        <w:t>иками и подрядчиками») сократилась на 1</w:t>
      </w:r>
      <w:r w:rsidR="004F603D">
        <w:rPr>
          <w:rFonts w:ascii="Times New Roman" w:hAnsi="Times New Roman"/>
          <w:sz w:val="24"/>
          <w:szCs w:val="24"/>
        </w:rPr>
        <w:t>835,9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и составила на</w:t>
      </w:r>
      <w:r w:rsidR="004F603D">
        <w:rPr>
          <w:rFonts w:ascii="Times New Roman" w:hAnsi="Times New Roman"/>
          <w:sz w:val="24"/>
          <w:szCs w:val="24"/>
        </w:rPr>
        <w:t xml:space="preserve"> конец отчетного периода 601,3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. 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-задолженность по платежам перед бюджетами (счет 130300000 «Расчеты по платежам в бюджеты») составила </w:t>
      </w:r>
      <w:r w:rsidR="004F603D">
        <w:rPr>
          <w:rFonts w:ascii="Times New Roman" w:hAnsi="Times New Roman"/>
          <w:sz w:val="24"/>
          <w:szCs w:val="24"/>
        </w:rPr>
        <w:t xml:space="preserve">на конец отчетного периода 129,4 </w:t>
      </w:r>
      <w:proofErr w:type="spellStart"/>
      <w:r w:rsidR="004F603D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F603D">
        <w:rPr>
          <w:rFonts w:ascii="Times New Roman" w:hAnsi="Times New Roman"/>
          <w:sz w:val="24"/>
          <w:szCs w:val="24"/>
        </w:rPr>
        <w:t>, что на 129,4</w:t>
      </w:r>
      <w:r w:rsidRPr="0068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больше начала года.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C94">
        <w:rPr>
          <w:rFonts w:ascii="Times New Roman" w:hAnsi="Times New Roman"/>
          <w:sz w:val="24"/>
          <w:szCs w:val="24"/>
        </w:rPr>
        <w:t xml:space="preserve">          -задолженность перед прочими кредиторами (счет 130400000 «Расчеты с прочими кредиторами») на конец </w:t>
      </w:r>
      <w:r w:rsidR="004F603D">
        <w:rPr>
          <w:rFonts w:ascii="Times New Roman" w:hAnsi="Times New Roman"/>
          <w:sz w:val="24"/>
          <w:szCs w:val="24"/>
        </w:rPr>
        <w:t xml:space="preserve">отчетного периода составила 28,9 </w:t>
      </w:r>
      <w:proofErr w:type="spellStart"/>
      <w:r w:rsidR="004F603D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F60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603D">
        <w:rPr>
          <w:rFonts w:ascii="Times New Roman" w:hAnsi="Times New Roman"/>
          <w:sz w:val="24"/>
          <w:szCs w:val="24"/>
        </w:rPr>
        <w:t>( рост</w:t>
      </w:r>
      <w:proofErr w:type="gramEnd"/>
      <w:r w:rsidR="004F603D">
        <w:rPr>
          <w:rFonts w:ascii="Times New Roman" w:hAnsi="Times New Roman"/>
          <w:sz w:val="24"/>
          <w:szCs w:val="24"/>
        </w:rPr>
        <w:t xml:space="preserve"> на 28,9</w:t>
      </w:r>
      <w:r w:rsidRPr="00682C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2C9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682C94">
        <w:rPr>
          <w:rFonts w:ascii="Times New Roman" w:hAnsi="Times New Roman"/>
          <w:sz w:val="24"/>
          <w:szCs w:val="24"/>
        </w:rPr>
        <w:t xml:space="preserve"> к началу года).</w:t>
      </w:r>
    </w:p>
    <w:p w:rsidR="00682C94" w:rsidRPr="00682C94" w:rsidRDefault="00682C94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C94" w:rsidRDefault="004F603D" w:rsidP="00682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01.07.2020</w:t>
      </w:r>
      <w:r w:rsidR="00682C94" w:rsidRPr="00682C94">
        <w:rPr>
          <w:rFonts w:ascii="Times New Roman" w:hAnsi="Times New Roman"/>
          <w:sz w:val="24"/>
          <w:szCs w:val="24"/>
        </w:rPr>
        <w:t xml:space="preserve"> года главными распорядителями бюджетных средств и муниципальными учреждениями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682C94" w:rsidRPr="00682C94">
        <w:rPr>
          <w:rFonts w:ascii="Times New Roman" w:hAnsi="Times New Roman"/>
          <w:sz w:val="24"/>
          <w:szCs w:val="24"/>
        </w:rPr>
        <w:t>было допущено образование просроче</w:t>
      </w:r>
      <w:r>
        <w:rPr>
          <w:rFonts w:ascii="Times New Roman" w:hAnsi="Times New Roman"/>
          <w:sz w:val="24"/>
          <w:szCs w:val="24"/>
        </w:rPr>
        <w:t>нной кредиторской задолженности.</w:t>
      </w:r>
    </w:p>
    <w:p w:rsidR="00682C94" w:rsidRPr="0028413C" w:rsidRDefault="00682C9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D86874">
        <w:rPr>
          <w:rFonts w:ascii="Times New Roman" w:hAnsi="Times New Roman"/>
          <w:sz w:val="24"/>
          <w:szCs w:val="24"/>
        </w:rPr>
        <w:t>за 1 полугодие</w:t>
      </w:r>
      <w:r w:rsidR="005A0EE4">
        <w:rPr>
          <w:rFonts w:ascii="Times New Roman" w:hAnsi="Times New Roman"/>
          <w:sz w:val="24"/>
          <w:szCs w:val="24"/>
        </w:rPr>
        <w:t xml:space="preserve"> 2020</w:t>
      </w:r>
      <w:r w:rsidR="00136CBA">
        <w:rPr>
          <w:rFonts w:ascii="Times New Roman" w:hAnsi="Times New Roman"/>
          <w:sz w:val="24"/>
          <w:szCs w:val="24"/>
        </w:rPr>
        <w:t xml:space="preserve"> года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CD0A2A" w:rsidRPr="00CD0A2A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E72978">
        <w:rPr>
          <w:rFonts w:ascii="Times New Roman" w:hAnsi="Times New Roman"/>
          <w:sz w:val="24"/>
          <w:szCs w:val="24"/>
        </w:rPr>
        <w:t>07</w:t>
      </w:r>
      <w:r w:rsidR="005A0EE4">
        <w:rPr>
          <w:rFonts w:ascii="Times New Roman" w:hAnsi="Times New Roman"/>
          <w:sz w:val="24"/>
          <w:szCs w:val="24"/>
        </w:rPr>
        <w:t>.2020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734D35">
        <w:rPr>
          <w:rFonts w:ascii="Times New Roman" w:hAnsi="Times New Roman"/>
          <w:sz w:val="24"/>
          <w:szCs w:val="24"/>
        </w:rPr>
        <w:t xml:space="preserve">по </w:t>
      </w:r>
      <w:r w:rsidR="00E45467">
        <w:rPr>
          <w:rFonts w:ascii="Times New Roman" w:hAnsi="Times New Roman"/>
          <w:sz w:val="24"/>
          <w:szCs w:val="24"/>
        </w:rPr>
        <w:t>дохо</w:t>
      </w:r>
      <w:r w:rsidR="00E72978">
        <w:rPr>
          <w:rFonts w:ascii="Times New Roman" w:hAnsi="Times New Roman"/>
          <w:sz w:val="24"/>
          <w:szCs w:val="24"/>
        </w:rPr>
        <w:t>дам составило 23326,6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E72978">
        <w:rPr>
          <w:rFonts w:ascii="Times New Roman" w:hAnsi="Times New Roman"/>
          <w:sz w:val="24"/>
          <w:szCs w:val="24"/>
        </w:rPr>
        <w:t xml:space="preserve"> 17697,9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</w:t>
      </w:r>
      <w:r w:rsidR="002E26A0">
        <w:rPr>
          <w:rFonts w:ascii="Times New Roman" w:hAnsi="Times New Roman"/>
          <w:sz w:val="24"/>
          <w:szCs w:val="24"/>
        </w:rPr>
        <w:t xml:space="preserve"> бюджета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E72978">
        <w:rPr>
          <w:rFonts w:ascii="Times New Roman" w:hAnsi="Times New Roman"/>
          <w:sz w:val="24"/>
          <w:szCs w:val="24"/>
        </w:rPr>
        <w:t>за 1 полугодие</w:t>
      </w:r>
      <w:r w:rsidR="005A0EE4">
        <w:rPr>
          <w:rFonts w:ascii="Times New Roman" w:hAnsi="Times New Roman"/>
          <w:sz w:val="24"/>
          <w:szCs w:val="24"/>
        </w:rPr>
        <w:t xml:space="preserve"> 2020</w:t>
      </w:r>
      <w:r w:rsidR="00734D35">
        <w:rPr>
          <w:rFonts w:ascii="Times New Roman" w:hAnsi="Times New Roman"/>
          <w:sz w:val="24"/>
          <w:szCs w:val="24"/>
        </w:rPr>
        <w:t xml:space="preserve"> года</w:t>
      </w:r>
      <w:r w:rsidRPr="0028413C">
        <w:rPr>
          <w:rFonts w:ascii="Times New Roman" w:hAnsi="Times New Roman"/>
          <w:sz w:val="24"/>
          <w:szCs w:val="24"/>
        </w:rPr>
        <w:t xml:space="preserve">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E72978">
        <w:rPr>
          <w:rFonts w:ascii="Times New Roman" w:hAnsi="Times New Roman"/>
          <w:sz w:val="24"/>
          <w:szCs w:val="24"/>
        </w:rPr>
        <w:t>профицит бюджета в сумме 5628,7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4F603D">
        <w:rPr>
          <w:rFonts w:ascii="Times New Roman" w:hAnsi="Times New Roman"/>
          <w:sz w:val="24"/>
          <w:szCs w:val="24"/>
        </w:rPr>
        <w:t xml:space="preserve">Объем дебиторской задолженности на 01.07.2020 года составил – 19740,2 </w:t>
      </w:r>
      <w:proofErr w:type="spellStart"/>
      <w:r w:rsidR="004F603D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F603D">
        <w:rPr>
          <w:rFonts w:ascii="Times New Roman" w:hAnsi="Times New Roman"/>
          <w:sz w:val="24"/>
          <w:szCs w:val="24"/>
        </w:rPr>
        <w:t>, объем кредиторской задолженности – 3260,5 тыс.рублей.</w:t>
      </w:r>
      <w:bookmarkStart w:id="0" w:name="_GoBack"/>
      <w:bookmarkEnd w:id="0"/>
    </w:p>
    <w:p w:rsidR="00CD0A2A" w:rsidRPr="000E021F" w:rsidRDefault="00CD0A2A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114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E72978">
        <w:rPr>
          <w:rFonts w:ascii="Times New Roman" w:hAnsi="Times New Roman"/>
          <w:sz w:val="24"/>
          <w:szCs w:val="24"/>
          <w:lang w:eastAsia="ru-RU"/>
        </w:rPr>
        <w:t>бюджета МО за 1 полугодие</w:t>
      </w:r>
      <w:r w:rsidR="005A0EE4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114EF3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390AEA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EE4" w:rsidRPr="0028413C" w:rsidRDefault="005A0EE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6CBA"/>
    <w:rsid w:val="00141720"/>
    <w:rsid w:val="00146FEB"/>
    <w:rsid w:val="00156D62"/>
    <w:rsid w:val="00162774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D73B4"/>
    <w:rsid w:val="001E3CB5"/>
    <w:rsid w:val="001F1BB1"/>
    <w:rsid w:val="00201145"/>
    <w:rsid w:val="002024EC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7D5C"/>
    <w:rsid w:val="00503ABD"/>
    <w:rsid w:val="005069FF"/>
    <w:rsid w:val="005072A6"/>
    <w:rsid w:val="00511464"/>
    <w:rsid w:val="005219F7"/>
    <w:rsid w:val="00527516"/>
    <w:rsid w:val="00533D81"/>
    <w:rsid w:val="00535C77"/>
    <w:rsid w:val="00540524"/>
    <w:rsid w:val="00541132"/>
    <w:rsid w:val="005415CD"/>
    <w:rsid w:val="00541D8B"/>
    <w:rsid w:val="00547964"/>
    <w:rsid w:val="00551BCA"/>
    <w:rsid w:val="005607A9"/>
    <w:rsid w:val="00565DDB"/>
    <w:rsid w:val="0056642E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5F6B85"/>
    <w:rsid w:val="006043E9"/>
    <w:rsid w:val="00605237"/>
    <w:rsid w:val="0060798E"/>
    <w:rsid w:val="00610BFA"/>
    <w:rsid w:val="00620268"/>
    <w:rsid w:val="0062070E"/>
    <w:rsid w:val="006315E2"/>
    <w:rsid w:val="00637CE3"/>
    <w:rsid w:val="00640724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B7804"/>
    <w:rsid w:val="008C2F74"/>
    <w:rsid w:val="008D25C8"/>
    <w:rsid w:val="008E09E1"/>
    <w:rsid w:val="008E5C46"/>
    <w:rsid w:val="008E5FC1"/>
    <w:rsid w:val="008F0477"/>
    <w:rsid w:val="008F2F39"/>
    <w:rsid w:val="008F34CB"/>
    <w:rsid w:val="00902298"/>
    <w:rsid w:val="0090388F"/>
    <w:rsid w:val="009051C0"/>
    <w:rsid w:val="00911239"/>
    <w:rsid w:val="009120A3"/>
    <w:rsid w:val="00912666"/>
    <w:rsid w:val="00924BAE"/>
    <w:rsid w:val="00925382"/>
    <w:rsid w:val="009307FD"/>
    <w:rsid w:val="00936B7F"/>
    <w:rsid w:val="00937518"/>
    <w:rsid w:val="009375C2"/>
    <w:rsid w:val="00941423"/>
    <w:rsid w:val="00945BE5"/>
    <w:rsid w:val="00951C5F"/>
    <w:rsid w:val="009567C9"/>
    <w:rsid w:val="00983247"/>
    <w:rsid w:val="00983276"/>
    <w:rsid w:val="00983F25"/>
    <w:rsid w:val="009909D4"/>
    <w:rsid w:val="009918B3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72E79"/>
    <w:rsid w:val="00A80E9D"/>
    <w:rsid w:val="00A83584"/>
    <w:rsid w:val="00A84C6C"/>
    <w:rsid w:val="00A90B0B"/>
    <w:rsid w:val="00A91F67"/>
    <w:rsid w:val="00AA0374"/>
    <w:rsid w:val="00AA300D"/>
    <w:rsid w:val="00AC1CAF"/>
    <w:rsid w:val="00AC3D0D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2D5"/>
    <w:rsid w:val="00B41754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C04787"/>
    <w:rsid w:val="00C04AF4"/>
    <w:rsid w:val="00C07930"/>
    <w:rsid w:val="00C16088"/>
    <w:rsid w:val="00C16D2B"/>
    <w:rsid w:val="00C27FF3"/>
    <w:rsid w:val="00C3234F"/>
    <w:rsid w:val="00C338D6"/>
    <w:rsid w:val="00C427E9"/>
    <w:rsid w:val="00C6697D"/>
    <w:rsid w:val="00C72DD4"/>
    <w:rsid w:val="00C823E3"/>
    <w:rsid w:val="00C879C4"/>
    <w:rsid w:val="00C93AEB"/>
    <w:rsid w:val="00C9509C"/>
    <w:rsid w:val="00CA0412"/>
    <w:rsid w:val="00CA6735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7AB0"/>
    <w:rsid w:val="00D1235A"/>
    <w:rsid w:val="00D208E0"/>
    <w:rsid w:val="00D21DEB"/>
    <w:rsid w:val="00D270F2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16D73"/>
    <w:rsid w:val="00E24034"/>
    <w:rsid w:val="00E31FAA"/>
    <w:rsid w:val="00E334EB"/>
    <w:rsid w:val="00E4161E"/>
    <w:rsid w:val="00E4177C"/>
    <w:rsid w:val="00E45467"/>
    <w:rsid w:val="00E61C93"/>
    <w:rsid w:val="00E67EE6"/>
    <w:rsid w:val="00E70966"/>
    <w:rsid w:val="00E711A9"/>
    <w:rsid w:val="00E72978"/>
    <w:rsid w:val="00E77F55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D23E6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AF6"/>
    <w:rsid w:val="00F219CA"/>
    <w:rsid w:val="00F234F0"/>
    <w:rsid w:val="00F35A45"/>
    <w:rsid w:val="00F36167"/>
    <w:rsid w:val="00F47009"/>
    <w:rsid w:val="00F50C62"/>
    <w:rsid w:val="00F52254"/>
    <w:rsid w:val="00F5239F"/>
    <w:rsid w:val="00F5591E"/>
    <w:rsid w:val="00F609F5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5C76-6B43-498E-A14E-1968E039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2019-08-02T08:05:00Z</cp:lastPrinted>
  <dcterms:created xsi:type="dcterms:W3CDTF">2020-07-30T12:26:00Z</dcterms:created>
  <dcterms:modified xsi:type="dcterms:W3CDTF">2020-07-30T12:26:00Z</dcterms:modified>
</cp:coreProperties>
</file>