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971A95">
      <w:pPr>
        <w:jc w:val="center"/>
        <w:rPr>
          <w:noProof/>
          <w:lang w:eastAsia="ru-RU"/>
        </w:rPr>
      </w:pPr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181EE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6B4917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99E"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D64849"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апреля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1 квартал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6B4917" w:rsidRPr="00CD699E">
        <w:rPr>
          <w:rFonts w:ascii="Times New Roman" w:hAnsi="Times New Roman"/>
          <w:sz w:val="24"/>
          <w:szCs w:val="24"/>
          <w:lang w:eastAsia="ru-RU"/>
        </w:rPr>
        <w:t>Кемское</w:t>
      </w:r>
      <w:r w:rsidR="00464B4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D699E" w:rsidRPr="00CD699E">
        <w:rPr>
          <w:rFonts w:ascii="Times New Roman" w:hAnsi="Times New Roman"/>
          <w:sz w:val="24"/>
          <w:szCs w:val="24"/>
          <w:lang w:eastAsia="ru-RU"/>
        </w:rPr>
        <w:t>17</w:t>
      </w:r>
      <w:r w:rsidR="000A042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64849" w:rsidRPr="00CD699E">
        <w:rPr>
          <w:rFonts w:ascii="Times New Roman" w:hAnsi="Times New Roman"/>
          <w:sz w:val="24"/>
          <w:szCs w:val="24"/>
          <w:lang w:eastAsia="ru-RU"/>
        </w:rPr>
        <w:t>2</w:t>
      </w:r>
      <w:r w:rsidR="00CD699E" w:rsidRPr="00CD699E">
        <w:rPr>
          <w:rFonts w:ascii="Times New Roman" w:hAnsi="Times New Roman"/>
          <w:sz w:val="24"/>
          <w:szCs w:val="24"/>
          <w:lang w:eastAsia="ru-RU"/>
        </w:rPr>
        <w:t>5</w:t>
      </w:r>
      <w:r w:rsidR="009629E9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>0</w:t>
      </w:r>
      <w:r w:rsidR="00CD699E" w:rsidRPr="00CD699E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F4123E" w:rsidRPr="00CD699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B4917">
        <w:rPr>
          <w:rFonts w:ascii="Times New Roman" w:hAnsi="Times New Roman"/>
          <w:sz w:val="24"/>
          <w:szCs w:val="24"/>
          <w:lang w:eastAsia="ru-RU"/>
        </w:rPr>
        <w:t xml:space="preserve">12 декабря 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EDE" w:rsidRDefault="009E1EDE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4E6233" w:rsidRDefault="004D58F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4917">
        <w:rPr>
          <w:rFonts w:ascii="Times New Roman" w:hAnsi="Times New Roman"/>
          <w:sz w:val="24"/>
          <w:szCs w:val="24"/>
          <w:lang w:eastAsia="ru-RU"/>
        </w:rPr>
        <w:t>12 декабря 2</w:t>
      </w:r>
      <w:r w:rsidR="00F4123E">
        <w:rPr>
          <w:rFonts w:ascii="Times New Roman" w:hAnsi="Times New Roman"/>
          <w:sz w:val="24"/>
          <w:szCs w:val="24"/>
          <w:lang w:eastAsia="ru-RU"/>
        </w:rPr>
        <w:t>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изменения вносились 1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9E1EDE">
        <w:rPr>
          <w:rFonts w:ascii="Times New Roman" w:hAnsi="Times New Roman"/>
          <w:sz w:val="24"/>
          <w:szCs w:val="24"/>
          <w:lang w:eastAsia="ru-RU"/>
        </w:rPr>
        <w:t>376,2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11,8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9E1EDE">
        <w:rPr>
          <w:rFonts w:ascii="Times New Roman" w:hAnsi="Times New Roman"/>
          <w:sz w:val="24"/>
          <w:szCs w:val="24"/>
          <w:lang w:eastAsia="ru-RU"/>
        </w:rPr>
        <w:t>3560,4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также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E1EDE">
        <w:rPr>
          <w:rFonts w:ascii="Times New Roman" w:hAnsi="Times New Roman"/>
          <w:sz w:val="24"/>
          <w:szCs w:val="24"/>
          <w:lang w:eastAsia="ru-RU"/>
        </w:rPr>
        <w:t>376,2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11,8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9E1EDE">
        <w:rPr>
          <w:rFonts w:ascii="Times New Roman" w:hAnsi="Times New Roman"/>
          <w:sz w:val="24"/>
          <w:szCs w:val="24"/>
          <w:lang w:eastAsia="ru-RU"/>
        </w:rPr>
        <w:t>3560,4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9E1EDE">
        <w:rPr>
          <w:rFonts w:ascii="Times New Roman" w:hAnsi="Times New Roman"/>
          <w:sz w:val="24"/>
          <w:szCs w:val="24"/>
          <w:lang w:eastAsia="ru-RU"/>
        </w:rPr>
        <w:t>Б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юджета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поселения без дефицита. </w:t>
      </w:r>
      <w:r w:rsidR="008547B4"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47B4"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9E1EDE">
        <w:rPr>
          <w:rFonts w:ascii="Times New Roman" w:hAnsi="Times New Roman"/>
          <w:bCs/>
          <w:sz w:val="24"/>
          <w:szCs w:val="24"/>
          <w:lang w:eastAsia="ru-RU"/>
        </w:rPr>
        <w:t>731,2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9E1EDE">
        <w:rPr>
          <w:rFonts w:ascii="Times New Roman" w:hAnsi="Times New Roman"/>
          <w:sz w:val="24"/>
          <w:szCs w:val="24"/>
          <w:lang w:eastAsia="ru-RU"/>
        </w:rPr>
        <w:t>20,5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E1EDE">
        <w:rPr>
          <w:rFonts w:ascii="Times New Roman" w:hAnsi="Times New Roman"/>
          <w:sz w:val="24"/>
          <w:szCs w:val="24"/>
          <w:lang w:eastAsia="ru-RU"/>
        </w:rPr>
        <w:t>669,7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9E1EDE">
        <w:rPr>
          <w:rFonts w:ascii="Times New Roman" w:hAnsi="Times New Roman"/>
          <w:sz w:val="24"/>
          <w:szCs w:val="24"/>
          <w:lang w:eastAsia="ru-RU"/>
        </w:rPr>
        <w:t>18,8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E1EDE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9E1EDE">
        <w:rPr>
          <w:rFonts w:ascii="Times New Roman" w:hAnsi="Times New Roman"/>
          <w:sz w:val="24"/>
          <w:szCs w:val="24"/>
          <w:lang w:eastAsia="ru-RU"/>
        </w:rPr>
        <w:t>61,5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1EDE" w:rsidRPr="005775FA" w:rsidRDefault="009E1EDE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апреля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9E1EDE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9E1EDE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26228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9E1EDE" w:rsidTr="009E1EDE">
        <w:tc>
          <w:tcPr>
            <w:tcW w:w="4012" w:type="dxa"/>
          </w:tcPr>
          <w:p w:rsidR="009E1EDE" w:rsidRPr="00C46869" w:rsidRDefault="009E1EDE" w:rsidP="009E1EDE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3560,4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E1ED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9E1EDE" w:rsidTr="009E1EDE">
        <w:trPr>
          <w:trHeight w:val="152"/>
        </w:trPr>
        <w:tc>
          <w:tcPr>
            <w:tcW w:w="4012" w:type="dxa"/>
          </w:tcPr>
          <w:p w:rsidR="009E1EDE" w:rsidRDefault="009E1EDE" w:rsidP="009E1ED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23,6</w:t>
            </w:r>
          </w:p>
        </w:tc>
      </w:tr>
      <w:tr w:rsidR="009E1EDE" w:rsidTr="009E1EDE">
        <w:trPr>
          <w:trHeight w:val="331"/>
        </w:trPr>
        <w:tc>
          <w:tcPr>
            <w:tcW w:w="4012" w:type="dxa"/>
          </w:tcPr>
          <w:p w:rsidR="009E1EDE" w:rsidRDefault="009E1EDE" w:rsidP="009E1ED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E1ED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3405,4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712,6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E1ED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E1EDE" w:rsidTr="009E1EDE">
        <w:tc>
          <w:tcPr>
            <w:tcW w:w="4012" w:type="dxa"/>
          </w:tcPr>
          <w:p w:rsidR="009E1EDE" w:rsidRPr="000A0426" w:rsidRDefault="009E1EDE" w:rsidP="009E1E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E1ED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2898,9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E1ED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9E1EDE" w:rsidRDefault="009E1EDE" w:rsidP="009E1E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ED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бюджет поселения поступило налоговых и неналоговых доходов в сумме </w:t>
      </w:r>
      <w:r w:rsidR="009E1EDE">
        <w:rPr>
          <w:rFonts w:ascii="Times New Roman" w:hAnsi="Times New Roman"/>
          <w:sz w:val="24"/>
          <w:szCs w:val="24"/>
          <w:lang w:eastAsia="ru-RU"/>
        </w:rPr>
        <w:t>18,6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9E1EDE">
        <w:rPr>
          <w:rFonts w:ascii="Times New Roman" w:hAnsi="Times New Roman"/>
          <w:sz w:val="24"/>
          <w:szCs w:val="24"/>
          <w:lang w:eastAsia="ru-RU"/>
        </w:rPr>
        <w:t>12,0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9E1EDE">
        <w:rPr>
          <w:rFonts w:ascii="Times New Roman" w:hAnsi="Times New Roman"/>
          <w:sz w:val="24"/>
          <w:szCs w:val="24"/>
          <w:lang w:eastAsia="ru-RU"/>
        </w:rPr>
        <w:t>16,0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11,1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поступили в объеме 2,6 тыс. рублей, или 23,6 % от плана на год.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>В структуре налоговых</w:t>
      </w:r>
      <w:r w:rsidR="009E1EDE">
        <w:rPr>
          <w:rFonts w:eastAsia="Calibri"/>
        </w:rPr>
        <w:t xml:space="preserve"> и неналоговых доходов </w:t>
      </w:r>
      <w:r w:rsidRPr="005775FA">
        <w:rPr>
          <w:rFonts w:eastAsia="Calibri"/>
        </w:rPr>
        <w:t xml:space="preserve">основным доходным источником в 1 квартале является </w:t>
      </w:r>
      <w:r w:rsidR="009E1EDE">
        <w:rPr>
          <w:rFonts w:eastAsia="Calibri"/>
        </w:rPr>
        <w:t>налог на доходы физических лиц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C34C27">
        <w:t>1</w:t>
      </w:r>
      <w:r w:rsidR="009E1EDE">
        <w:t xml:space="preserve">1,1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9E1EDE">
        <w:t>31,7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9E1EDE">
        <w:t>59,7</w:t>
      </w:r>
      <w:r w:rsidR="00CA77E7">
        <w:t xml:space="preserve"> % от общего объема поступивших налоговых</w:t>
      </w:r>
      <w:r w:rsidR="009E1EDE">
        <w:t xml:space="preserve"> и неналоговых </w:t>
      </w:r>
      <w:r w:rsidR="00CA77E7">
        <w:t xml:space="preserve">доходов. </w:t>
      </w:r>
      <w:r w:rsidR="00BE2E6F">
        <w:t>По сравнению с аналогичным периодом</w:t>
      </w:r>
      <w:r w:rsidR="00B169E8">
        <w:t xml:space="preserve"> </w:t>
      </w:r>
      <w:r w:rsidR="00CA77E7">
        <w:t>2018 года</w:t>
      </w:r>
      <w:r w:rsidR="00BE2E6F">
        <w:t xml:space="preserve"> налога на доходы физических лиц поступило больше на 7,4 тыс. рублей (в 2018</w:t>
      </w:r>
      <w:r w:rsidR="00B169E8">
        <w:t xml:space="preserve"> году </w:t>
      </w:r>
      <w:r w:rsidR="00BE2E6F">
        <w:t>-3,7</w:t>
      </w:r>
      <w:r w:rsidR="00B169E8">
        <w:t xml:space="preserve"> тыс. рублей</w:t>
      </w:r>
      <w:r w:rsidR="00BE2E6F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C46869">
        <w:rPr>
          <w:iCs/>
        </w:rPr>
        <w:t>–</w:t>
      </w:r>
      <w:r>
        <w:rPr>
          <w:iCs/>
        </w:rPr>
        <w:t xml:space="preserve"> </w:t>
      </w:r>
      <w:r w:rsidR="00BE2E6F">
        <w:rPr>
          <w:iCs/>
        </w:rPr>
        <w:t xml:space="preserve">1,3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BE2E6F">
        <w:rPr>
          <w:iCs/>
        </w:rPr>
        <w:t>1,8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1 квартале 2018 году поступило </w:t>
      </w:r>
      <w:r w:rsidR="00BE2E6F">
        <w:rPr>
          <w:iCs/>
        </w:rPr>
        <w:t>4,5</w:t>
      </w:r>
      <w:r w:rsidR="00B169E8">
        <w:rPr>
          <w:iCs/>
        </w:rPr>
        <w:t xml:space="preserve"> тыс. рублей. </w:t>
      </w:r>
    </w:p>
    <w:p w:rsidR="00BE2E6F" w:rsidRDefault="00BE2E6F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iCs/>
        </w:rPr>
        <w:t xml:space="preserve">Земельный налог </w:t>
      </w:r>
      <w:r w:rsidR="00E06C0F" w:rsidRPr="005775FA">
        <w:rPr>
          <w:rFonts w:eastAsia="Calibri"/>
        </w:rPr>
        <w:t xml:space="preserve">поступил в объеме </w:t>
      </w:r>
      <w:r>
        <w:rPr>
          <w:rFonts w:eastAsia="Calibri"/>
        </w:rPr>
        <w:t xml:space="preserve">2,4 </w:t>
      </w:r>
      <w:r w:rsidR="00E06C0F" w:rsidRPr="005775FA">
        <w:rPr>
          <w:rFonts w:eastAsia="Calibri"/>
        </w:rPr>
        <w:t>тыс. рублей</w:t>
      </w:r>
      <w:r>
        <w:rPr>
          <w:rFonts w:eastAsia="Calibri"/>
        </w:rPr>
        <w:t>, или 8,0</w:t>
      </w:r>
      <w:r w:rsidR="002F2BA5">
        <w:rPr>
          <w:rFonts w:eastAsia="Calibri"/>
        </w:rPr>
        <w:t xml:space="preserve"> %</w:t>
      </w:r>
      <w:r w:rsidR="00E06C0F"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</w:t>
      </w:r>
      <w:r>
        <w:rPr>
          <w:rFonts w:eastAsia="Calibri"/>
        </w:rPr>
        <w:t xml:space="preserve">. В 1 квартале 2018 года поступило 2,5 тыс. рублей. </w:t>
      </w:r>
    </w:p>
    <w:p w:rsidR="00BE2E6F" w:rsidRDefault="00E06C0F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B169E8">
        <w:rPr>
          <w:rFonts w:eastAsia="Calibri"/>
          <w:iCs/>
        </w:rPr>
        <w:t>1,</w:t>
      </w:r>
      <w:r w:rsidR="00BE2E6F">
        <w:rPr>
          <w:rFonts w:eastAsia="Calibri"/>
          <w:iCs/>
        </w:rPr>
        <w:t>1</w:t>
      </w:r>
      <w:r w:rsidR="002F2BA5">
        <w:rPr>
          <w:rFonts w:eastAsia="Calibri"/>
          <w:iCs/>
        </w:rPr>
        <w:t xml:space="preserve"> </w:t>
      </w:r>
      <w:r w:rsidRPr="005775FA">
        <w:rPr>
          <w:rFonts w:eastAsia="Calibri"/>
          <w:iCs/>
        </w:rPr>
        <w:t>тыс. рублей (</w:t>
      </w:r>
      <w:r w:rsidR="00BE2E6F">
        <w:rPr>
          <w:rFonts w:eastAsia="Calibri"/>
          <w:iCs/>
        </w:rPr>
        <w:t>18,3</w:t>
      </w:r>
      <w:r w:rsidRPr="005775FA">
        <w:rPr>
          <w:rFonts w:eastAsia="Calibri"/>
          <w:iCs/>
        </w:rPr>
        <w:t xml:space="preserve"> % от плана на </w:t>
      </w:r>
      <w:r w:rsidR="00F4123E">
        <w:rPr>
          <w:rFonts w:eastAsia="Calibri"/>
          <w:iCs/>
        </w:rPr>
        <w:t>2019</w:t>
      </w:r>
      <w:r w:rsidRPr="005775FA">
        <w:rPr>
          <w:rFonts w:eastAsia="Calibri"/>
          <w:iCs/>
        </w:rPr>
        <w:t xml:space="preserve"> год).</w:t>
      </w:r>
      <w:r w:rsidR="00B169E8">
        <w:rPr>
          <w:rFonts w:eastAsia="Calibri"/>
          <w:iCs/>
        </w:rPr>
        <w:t xml:space="preserve"> В 1 квартале 2018 года поступило госпошлины </w:t>
      </w:r>
      <w:r w:rsidR="00BE2E6F">
        <w:rPr>
          <w:rFonts w:eastAsia="Calibri"/>
          <w:iCs/>
        </w:rPr>
        <w:t>1,0</w:t>
      </w:r>
      <w:r w:rsidR="00B169E8">
        <w:rPr>
          <w:rFonts w:eastAsia="Calibri"/>
          <w:iCs/>
        </w:rPr>
        <w:t xml:space="preserve"> тыс. рублей.  </w:t>
      </w:r>
    </w:p>
    <w:p w:rsidR="00BE2E6F" w:rsidRDefault="00BE2E6F" w:rsidP="00BE2E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Неналоговые доходы представлены доходами от сдачи в аренду имущества, находящегося в оперативном управлении поселения.</w:t>
      </w:r>
      <w:r w:rsidR="00B9249C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Доходы от сдачи в аренду имущества </w:t>
      </w:r>
      <w:r w:rsidR="00B9249C">
        <w:rPr>
          <w:rFonts w:ascii="Times New Roman" w:eastAsia="Calibri" w:hAnsi="Times New Roman"/>
          <w:iCs/>
          <w:sz w:val="24"/>
          <w:szCs w:val="24"/>
        </w:rPr>
        <w:t>п</w:t>
      </w:r>
      <w:r>
        <w:rPr>
          <w:rFonts w:ascii="Times New Roman" w:eastAsia="Calibri" w:hAnsi="Times New Roman"/>
          <w:iCs/>
          <w:sz w:val="24"/>
          <w:szCs w:val="24"/>
        </w:rPr>
        <w:t xml:space="preserve">оступили в объеме 2,6 </w:t>
      </w:r>
      <w:r w:rsidR="00B9249C">
        <w:rPr>
          <w:rFonts w:ascii="Times New Roman" w:eastAsia="Calibri" w:hAnsi="Times New Roman"/>
          <w:iCs/>
          <w:sz w:val="24"/>
          <w:szCs w:val="24"/>
        </w:rPr>
        <w:t xml:space="preserve">тыс. рублей, или 23,6 % от плана год. </w:t>
      </w:r>
    </w:p>
    <w:p w:rsidR="00926228" w:rsidRDefault="002F2BA5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2F2BA5">
        <w:rPr>
          <w:rFonts w:eastAsia="Calibri"/>
          <w:iCs/>
        </w:rPr>
        <w:t>Доля налоговых</w:t>
      </w:r>
      <w:r w:rsidR="00B9249C">
        <w:rPr>
          <w:rFonts w:eastAsia="Calibri"/>
          <w:iCs/>
        </w:rPr>
        <w:t xml:space="preserve"> и неналоговых</w:t>
      </w:r>
      <w:r w:rsidRPr="002F2BA5">
        <w:rPr>
          <w:rFonts w:eastAsia="Calibri"/>
          <w:iCs/>
        </w:rPr>
        <w:t xml:space="preserve"> доходов в общем объёме поступлений составила </w:t>
      </w:r>
      <w:r w:rsidR="00B9249C">
        <w:rPr>
          <w:rFonts w:eastAsia="Calibri"/>
          <w:iCs/>
        </w:rPr>
        <w:t xml:space="preserve">2,5 </w:t>
      </w:r>
      <w:r w:rsidR="003F4937">
        <w:rPr>
          <w:rFonts w:eastAsia="Calibri"/>
          <w:iCs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B9249C">
        <w:rPr>
          <w:rFonts w:ascii="Times New Roman" w:hAnsi="Times New Roman"/>
          <w:bCs/>
          <w:sz w:val="24"/>
          <w:szCs w:val="24"/>
          <w:lang w:eastAsia="ru-RU"/>
        </w:rPr>
        <w:t>712,6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B169E8">
        <w:rPr>
          <w:rFonts w:ascii="Times New Roman" w:hAnsi="Times New Roman"/>
          <w:bCs/>
          <w:sz w:val="24"/>
          <w:szCs w:val="24"/>
          <w:lang w:eastAsia="ru-RU"/>
        </w:rPr>
        <w:t>20,</w:t>
      </w:r>
      <w:r w:rsidR="00B9249C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B9249C">
        <w:rPr>
          <w:rFonts w:ascii="Times New Roman" w:eastAsia="Calibri" w:hAnsi="Times New Roman"/>
          <w:iCs/>
          <w:sz w:val="24"/>
          <w:szCs w:val="24"/>
        </w:rPr>
        <w:t>639,6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2E2B26">
        <w:rPr>
          <w:rFonts w:ascii="Times New Roman" w:eastAsia="Calibri" w:hAnsi="Times New Roman"/>
          <w:iCs/>
          <w:sz w:val="24"/>
          <w:szCs w:val="24"/>
        </w:rPr>
        <w:t>2</w:t>
      </w:r>
      <w:r w:rsidR="00B169E8">
        <w:rPr>
          <w:rFonts w:ascii="Times New Roman" w:eastAsia="Calibri" w:hAnsi="Times New Roman"/>
          <w:iCs/>
          <w:sz w:val="24"/>
          <w:szCs w:val="24"/>
        </w:rPr>
        <w:t>2,</w:t>
      </w:r>
      <w:r w:rsidR="00B9249C">
        <w:rPr>
          <w:rFonts w:ascii="Times New Roman" w:eastAsia="Calibri" w:hAnsi="Times New Roman"/>
          <w:iCs/>
          <w:sz w:val="24"/>
          <w:szCs w:val="24"/>
        </w:rPr>
        <w:t>1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23,0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B169E8">
        <w:rPr>
          <w:rFonts w:ascii="Times New Roman" w:eastAsia="Calibri" w:hAnsi="Times New Roman"/>
          <w:iCs/>
          <w:sz w:val="24"/>
          <w:szCs w:val="24"/>
        </w:rPr>
        <w:t>24,9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B9249C" w:rsidRPr="00B9249C">
        <w:rPr>
          <w:rFonts w:ascii="Times New Roman" w:hAnsi="Times New Roman"/>
          <w:bCs/>
          <w:sz w:val="24"/>
          <w:szCs w:val="24"/>
          <w:lang w:eastAsia="ru-RU"/>
        </w:rPr>
        <w:t>прочие безвозмездные поступления</w:t>
      </w:r>
      <w:r w:rsidR="00B9249C" w:rsidRPr="00B9249C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50,0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100,0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 xml:space="preserve"> % от плана).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B9249C">
        <w:rPr>
          <w:rFonts w:ascii="Times New Roman" w:eastAsia="Calibri" w:hAnsi="Times New Roman"/>
          <w:iCs/>
          <w:sz w:val="24"/>
          <w:szCs w:val="24"/>
        </w:rPr>
        <w:t>97,5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B9249C">
        <w:rPr>
          <w:rFonts w:ascii="Times New Roman" w:hAnsi="Times New Roman"/>
          <w:sz w:val="24"/>
          <w:szCs w:val="24"/>
        </w:rPr>
        <w:t>333,5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B9249C">
        <w:rPr>
          <w:rFonts w:ascii="Times New Roman" w:hAnsi="Times New Roman"/>
          <w:sz w:val="24"/>
          <w:szCs w:val="24"/>
        </w:rPr>
        <w:t xml:space="preserve">83,9 % в первую </w:t>
      </w:r>
      <w:r w:rsidR="00B9249C">
        <w:rPr>
          <w:rFonts w:ascii="Times New Roman" w:hAnsi="Times New Roman"/>
          <w:sz w:val="24"/>
          <w:szCs w:val="24"/>
        </w:rPr>
        <w:lastRenderedPageBreak/>
        <w:t xml:space="preserve">очередь за счет увеличения безвозмездных поступлений на 329,2 тыс. рублей, в том числе дотаций на 277,6 тыс. рублей, или на 76,7 %. 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249C">
        <w:rPr>
          <w:rFonts w:ascii="Times New Roman" w:hAnsi="Times New Roman"/>
          <w:sz w:val="24"/>
          <w:szCs w:val="24"/>
          <w:lang w:eastAsia="ru-RU"/>
        </w:rPr>
        <w:t>669,7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9249C">
        <w:rPr>
          <w:rFonts w:ascii="Times New Roman" w:hAnsi="Times New Roman"/>
          <w:sz w:val="24"/>
          <w:szCs w:val="24"/>
          <w:lang w:eastAsia="ru-RU"/>
        </w:rPr>
        <w:t>18,8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9249C" w:rsidRPr="0061037B" w:rsidTr="00D6678E">
        <w:tc>
          <w:tcPr>
            <w:tcW w:w="4342" w:type="dxa"/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18,8</w:t>
            </w:r>
          </w:p>
        </w:tc>
      </w:tr>
      <w:tr w:rsidR="00B9249C" w:rsidRPr="0061037B" w:rsidTr="00D6678E">
        <w:tc>
          <w:tcPr>
            <w:tcW w:w="4342" w:type="dxa"/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B9249C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</w:tr>
      <w:tr w:rsidR="00B9249C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1249,8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</w:tr>
      <w:tr w:rsidR="00B9249C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B9249C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249C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B9249C" w:rsidRPr="0061037B" w:rsidRDefault="00B9249C" w:rsidP="00B9249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49C" w:rsidRPr="0061037B" w:rsidTr="003B3242">
        <w:tc>
          <w:tcPr>
            <w:tcW w:w="4342" w:type="dxa"/>
          </w:tcPr>
          <w:p w:rsidR="00B9249C" w:rsidRPr="0061037B" w:rsidRDefault="00B9249C" w:rsidP="00B9249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16,8</w:t>
            </w:r>
          </w:p>
        </w:tc>
      </w:tr>
      <w:tr w:rsidR="00B9249C" w:rsidRPr="0061037B" w:rsidTr="00A82665">
        <w:tc>
          <w:tcPr>
            <w:tcW w:w="4342" w:type="dxa"/>
          </w:tcPr>
          <w:p w:rsidR="00B9249C" w:rsidRPr="0061037B" w:rsidRDefault="00B9249C" w:rsidP="00B9249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49C" w:rsidRPr="004156C7" w:rsidRDefault="00B9249C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</w:tr>
      <w:tr w:rsidR="00934BBA" w:rsidRPr="0061037B" w:rsidTr="00A82665">
        <w:trPr>
          <w:trHeight w:val="321"/>
        </w:trPr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11,3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156C7" w:rsidRPr="0061037B" w:rsidTr="00F100A6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15,2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477946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477946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477946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477946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25,1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4156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4156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4156C7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20,0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4156C7">
        <w:rPr>
          <w:rFonts w:ascii="Times New Roman" w:hAnsi="Times New Roman"/>
          <w:sz w:val="24"/>
          <w:szCs w:val="24"/>
          <w:lang w:eastAsia="ru-RU"/>
        </w:rPr>
        <w:t>359,6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139,8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4156C7">
        <w:rPr>
          <w:rFonts w:ascii="Times New Roman" w:hAnsi="Times New Roman"/>
          <w:sz w:val="24"/>
          <w:szCs w:val="24"/>
          <w:lang w:eastAsia="ru-RU"/>
        </w:rPr>
        <w:t>102,4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4156C7">
        <w:rPr>
          <w:rFonts w:ascii="Times New Roman" w:hAnsi="Times New Roman"/>
          <w:sz w:val="24"/>
          <w:szCs w:val="24"/>
          <w:lang w:eastAsia="ru-RU"/>
        </w:rPr>
        <w:t>257,2 ты</w:t>
      </w:r>
      <w:r w:rsidR="0061037B">
        <w:rPr>
          <w:rFonts w:ascii="Times New Roman" w:hAnsi="Times New Roman"/>
          <w:sz w:val="24"/>
          <w:szCs w:val="24"/>
          <w:lang w:eastAsia="ru-RU"/>
        </w:rPr>
        <w:t>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4156C7">
        <w:rPr>
          <w:rFonts w:ascii="Times New Roman" w:hAnsi="Times New Roman"/>
          <w:sz w:val="24"/>
          <w:szCs w:val="24"/>
          <w:lang w:eastAsia="ru-RU"/>
        </w:rPr>
        <w:t>53,7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1 квартале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16,8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74201B">
        <w:rPr>
          <w:rFonts w:ascii="Times New Roman" w:hAnsi="Times New Roman"/>
          <w:sz w:val="24"/>
          <w:szCs w:val="24"/>
          <w:lang w:eastAsia="ru-RU"/>
        </w:rPr>
        <w:t>1</w:t>
      </w:r>
      <w:r w:rsidR="004156C7">
        <w:rPr>
          <w:rFonts w:ascii="Times New Roman" w:hAnsi="Times New Roman"/>
          <w:sz w:val="24"/>
          <w:szCs w:val="24"/>
          <w:lang w:eastAsia="ru-RU"/>
        </w:rPr>
        <w:t>5,5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152,0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 (</w:t>
      </w:r>
      <w:r w:rsidR="004156C7">
        <w:rPr>
          <w:rFonts w:ascii="Times New Roman" w:hAnsi="Times New Roman"/>
          <w:sz w:val="24"/>
          <w:szCs w:val="24"/>
          <w:lang w:eastAsia="ru-RU"/>
        </w:rPr>
        <w:t>10,2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4156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156C7" w:rsidRPr="004156C7">
        <w:rPr>
          <w:rFonts w:ascii="Times New Roman" w:hAnsi="Times New Roman"/>
          <w:bCs/>
          <w:sz w:val="24"/>
          <w:szCs w:val="24"/>
          <w:lang w:eastAsia="ru-RU"/>
        </w:rPr>
        <w:t>при годовом п</w:t>
      </w:r>
      <w:r w:rsidRPr="004156C7">
        <w:rPr>
          <w:rFonts w:ascii="Times New Roman" w:hAnsi="Times New Roman"/>
          <w:bCs/>
          <w:sz w:val="24"/>
          <w:szCs w:val="24"/>
          <w:lang w:eastAsia="ru-RU"/>
        </w:rPr>
        <w:t>ланово</w:t>
      </w:r>
      <w:r w:rsidR="004156C7" w:rsidRPr="004156C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 xml:space="preserve">30,0 тыс. рублей расходы не исполнены. </w:t>
      </w:r>
    </w:p>
    <w:p w:rsidR="00190C0E" w:rsidRDefault="00190C0E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11,3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69,7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подразделу 0503 «Благоустройство».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68,7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156C7">
        <w:rPr>
          <w:rFonts w:ascii="Times New Roman" w:hAnsi="Times New Roman"/>
          <w:sz w:val="24"/>
          <w:szCs w:val="24"/>
          <w:lang w:eastAsia="ru-RU"/>
        </w:rPr>
        <w:t>101,4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</w:t>
      </w:r>
      <w:r w:rsidR="004156C7">
        <w:rPr>
          <w:rFonts w:ascii="Times New Roman" w:hAnsi="Times New Roman"/>
          <w:sz w:val="24"/>
          <w:szCs w:val="24"/>
          <w:lang w:eastAsia="ru-RU"/>
        </w:rPr>
        <w:t>, то есть на 31,7 тыс. рублей меньше.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74201B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5,0 тыс. рублей</w:t>
      </w:r>
      <w:r w:rsidR="007420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не исполнены.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Расходы запланированы по подразделу 0707 «Молодежная политика».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5B1B82">
        <w:rPr>
          <w:rFonts w:ascii="Times New Roman" w:hAnsi="Times New Roman"/>
          <w:sz w:val="24"/>
          <w:szCs w:val="24"/>
          <w:lang w:eastAsia="ru-RU"/>
        </w:rPr>
        <w:t>25,0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B1B82">
        <w:rPr>
          <w:rFonts w:ascii="Times New Roman" w:hAnsi="Times New Roman"/>
          <w:sz w:val="24"/>
          <w:szCs w:val="24"/>
          <w:lang w:eastAsia="ru-RU"/>
        </w:rPr>
        <w:t>162,5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Расходы составили межбюджетные трансферты по исполнению полномочий по культуре, передаваемые в бюджет района. По сравнению с </w:t>
      </w:r>
      <w:r w:rsidRPr="005775FA">
        <w:rPr>
          <w:rFonts w:ascii="Times New Roman" w:hAnsi="Times New Roman"/>
          <w:sz w:val="24"/>
          <w:szCs w:val="24"/>
          <w:lang w:eastAsia="ru-RU"/>
        </w:rPr>
        <w:t>аналогичн</w:t>
      </w:r>
      <w:r w:rsidR="005B1B82">
        <w:rPr>
          <w:rFonts w:ascii="Times New Roman" w:hAnsi="Times New Roman"/>
          <w:sz w:val="24"/>
          <w:szCs w:val="24"/>
          <w:lang w:eastAsia="ru-RU"/>
        </w:rPr>
        <w:t>ы</w:t>
      </w:r>
      <w:r w:rsidRPr="005775FA">
        <w:rPr>
          <w:rFonts w:ascii="Times New Roman" w:hAnsi="Times New Roman"/>
          <w:sz w:val="24"/>
          <w:szCs w:val="24"/>
          <w:lang w:eastAsia="ru-RU"/>
        </w:rPr>
        <w:t>м период</w:t>
      </w:r>
      <w:r w:rsidR="005B1B82">
        <w:rPr>
          <w:rFonts w:ascii="Times New Roman" w:hAnsi="Times New Roman"/>
          <w:sz w:val="24"/>
          <w:szCs w:val="24"/>
          <w:lang w:eastAsia="ru-RU"/>
        </w:rPr>
        <w:t>ом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прошлого года исполнение 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превысило в 6,7 раз (в 1 квартале 2018 года – 24,3 тыс. рублей).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>в 1 квартале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5B1B82">
        <w:rPr>
          <w:rFonts w:ascii="Times New Roman" w:hAnsi="Times New Roman"/>
          <w:bCs/>
          <w:sz w:val="24"/>
          <w:szCs w:val="24"/>
          <w:lang w:eastAsia="ru-RU"/>
        </w:rPr>
        <w:t>46,4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5B1B82">
        <w:rPr>
          <w:rFonts w:ascii="Times New Roman" w:hAnsi="Times New Roman"/>
          <w:bCs/>
          <w:sz w:val="24"/>
          <w:szCs w:val="24"/>
          <w:lang w:eastAsia="ru-RU"/>
        </w:rPr>
        <w:t>15,2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В аналогичном периоде 2018 года расходы не производились. 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5B1B82">
        <w:rPr>
          <w:rFonts w:ascii="Times New Roman" w:hAnsi="Times New Roman"/>
          <w:sz w:val="24"/>
          <w:szCs w:val="24"/>
          <w:lang w:eastAsia="ru-RU"/>
        </w:rPr>
        <w:t>16,0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509A0">
        <w:rPr>
          <w:rFonts w:ascii="Times New Roman" w:hAnsi="Times New Roman"/>
          <w:sz w:val="24"/>
          <w:szCs w:val="24"/>
          <w:lang w:eastAsia="ru-RU"/>
        </w:rPr>
        <w:t>25,</w:t>
      </w:r>
      <w:r w:rsidR="005B1B8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B1B82">
        <w:rPr>
          <w:rFonts w:ascii="Times New Roman" w:hAnsi="Times New Roman"/>
          <w:sz w:val="24"/>
          <w:szCs w:val="24"/>
          <w:lang w:eastAsia="ru-RU"/>
        </w:rPr>
        <w:t>313,7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B1B82">
        <w:rPr>
          <w:rFonts w:ascii="Times New Roman" w:hAnsi="Times New Roman"/>
          <w:sz w:val="24"/>
          <w:szCs w:val="24"/>
          <w:lang w:eastAsia="ru-RU"/>
        </w:rPr>
        <w:t>5,1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5509A0">
        <w:rPr>
          <w:rFonts w:ascii="Times New Roman" w:hAnsi="Times New Roman"/>
          <w:sz w:val="24"/>
          <w:szCs w:val="24"/>
        </w:rPr>
        <w:t>2</w:t>
      </w:r>
      <w:r w:rsidR="005B1B82">
        <w:rPr>
          <w:rFonts w:ascii="Times New Roman" w:hAnsi="Times New Roman"/>
          <w:sz w:val="24"/>
          <w:szCs w:val="24"/>
        </w:rPr>
        <w:t>71,5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5B1B82">
        <w:rPr>
          <w:rFonts w:ascii="Times New Roman" w:hAnsi="Times New Roman"/>
          <w:sz w:val="24"/>
          <w:szCs w:val="24"/>
        </w:rPr>
        <w:t>68,2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разделу 0</w:t>
      </w:r>
      <w:r w:rsidR="005509A0">
        <w:rPr>
          <w:rFonts w:ascii="Times New Roman" w:hAnsi="Times New Roman"/>
          <w:sz w:val="24"/>
          <w:szCs w:val="24"/>
        </w:rPr>
        <w:t>1</w:t>
      </w:r>
      <w:r w:rsidRPr="00F613CF">
        <w:rPr>
          <w:rFonts w:ascii="Times New Roman" w:hAnsi="Times New Roman"/>
          <w:sz w:val="24"/>
          <w:szCs w:val="24"/>
        </w:rPr>
        <w:t xml:space="preserve"> «</w:t>
      </w:r>
      <w:r w:rsidR="005509A0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509A0">
        <w:rPr>
          <w:rFonts w:ascii="Times New Roman" w:hAnsi="Times New Roman"/>
          <w:sz w:val="24"/>
          <w:szCs w:val="24"/>
        </w:rPr>
        <w:t>1</w:t>
      </w:r>
      <w:r w:rsidR="005B1B82">
        <w:rPr>
          <w:rFonts w:ascii="Times New Roman" w:hAnsi="Times New Roman"/>
          <w:sz w:val="24"/>
          <w:szCs w:val="24"/>
        </w:rPr>
        <w:t>02,4</w:t>
      </w:r>
      <w:r>
        <w:rPr>
          <w:rFonts w:ascii="Times New Roman" w:hAnsi="Times New Roman"/>
          <w:sz w:val="24"/>
          <w:szCs w:val="24"/>
        </w:rPr>
        <w:t xml:space="preserve"> </w:t>
      </w:r>
      <w:r w:rsidR="005509A0">
        <w:rPr>
          <w:rFonts w:ascii="Times New Roman" w:hAnsi="Times New Roman"/>
          <w:sz w:val="24"/>
          <w:szCs w:val="24"/>
        </w:rPr>
        <w:t>тыс. рублей и «</w:t>
      </w:r>
      <w:r w:rsidR="005B1B82">
        <w:rPr>
          <w:rFonts w:ascii="Times New Roman" w:hAnsi="Times New Roman"/>
          <w:sz w:val="24"/>
          <w:szCs w:val="24"/>
        </w:rPr>
        <w:t>Культура, кинематография</w:t>
      </w:r>
      <w:r w:rsidR="005509A0">
        <w:rPr>
          <w:rFonts w:ascii="Times New Roman" w:hAnsi="Times New Roman"/>
          <w:sz w:val="24"/>
          <w:szCs w:val="24"/>
        </w:rPr>
        <w:t xml:space="preserve">» на </w:t>
      </w:r>
      <w:r w:rsidR="005B1B82">
        <w:rPr>
          <w:rFonts w:ascii="Times New Roman" w:hAnsi="Times New Roman"/>
          <w:sz w:val="24"/>
          <w:szCs w:val="24"/>
        </w:rPr>
        <w:t xml:space="preserve">138,2 </w:t>
      </w:r>
      <w:r w:rsidR="005509A0">
        <w:rPr>
          <w:rFonts w:ascii="Times New Roman" w:hAnsi="Times New Roman"/>
          <w:sz w:val="24"/>
          <w:szCs w:val="24"/>
        </w:rPr>
        <w:t>тыс. рублей.</w:t>
      </w:r>
    </w:p>
    <w:p w:rsidR="00957984" w:rsidRDefault="00957984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B1B82">
        <w:rPr>
          <w:rFonts w:ascii="Times New Roman" w:hAnsi="Times New Roman"/>
          <w:sz w:val="24"/>
          <w:szCs w:val="24"/>
          <w:lang w:eastAsia="ru-RU"/>
        </w:rPr>
        <w:t>12 декабря 2</w:t>
      </w:r>
      <w:r w:rsidRPr="00C33C1C">
        <w:rPr>
          <w:rFonts w:ascii="Times New Roman" w:hAnsi="Times New Roman"/>
          <w:sz w:val="24"/>
          <w:szCs w:val="24"/>
          <w:lang w:eastAsia="ru-RU"/>
        </w:rPr>
        <w:t>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5B1B82">
        <w:rPr>
          <w:rFonts w:ascii="Times New Roman" w:hAnsi="Times New Roman"/>
          <w:sz w:val="24"/>
          <w:szCs w:val="24"/>
          <w:lang w:eastAsia="ru-RU"/>
        </w:rPr>
        <w:t>5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бюджет </w:t>
      </w:r>
      <w:r w:rsidR="005B1B82">
        <w:rPr>
          <w:rFonts w:ascii="Times New Roman" w:hAnsi="Times New Roman"/>
          <w:sz w:val="24"/>
          <w:szCs w:val="24"/>
          <w:lang w:eastAsia="ru-RU"/>
        </w:rPr>
        <w:t>поселения остался бездефицитный.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5B1B82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5B1B82">
        <w:rPr>
          <w:rFonts w:ascii="Times New Roman" w:hAnsi="Times New Roman"/>
          <w:sz w:val="24"/>
          <w:szCs w:val="24"/>
          <w:lang w:eastAsia="ru-RU"/>
        </w:rPr>
        <w:t>61,5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5B1B82">
        <w:rPr>
          <w:rFonts w:ascii="Times New Roman" w:hAnsi="Times New Roman"/>
          <w:sz w:val="24"/>
          <w:szCs w:val="24"/>
          <w:lang w:eastAsia="ru-RU"/>
        </w:rPr>
        <w:t>.</w:t>
      </w:r>
    </w:p>
    <w:p w:rsidR="00D64849" w:rsidRPr="004C303F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5B1B82">
        <w:rPr>
          <w:rFonts w:ascii="Times New Roman" w:hAnsi="Times New Roman"/>
          <w:b/>
          <w:bCs/>
          <w:sz w:val="24"/>
          <w:szCs w:val="24"/>
        </w:rPr>
        <w:t>731,2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957984">
        <w:rPr>
          <w:rFonts w:ascii="Times New Roman" w:hAnsi="Times New Roman"/>
          <w:sz w:val="24"/>
          <w:szCs w:val="24"/>
        </w:rPr>
        <w:t>20,</w:t>
      </w:r>
      <w:r w:rsidR="005B1B82">
        <w:rPr>
          <w:rFonts w:ascii="Times New Roman" w:hAnsi="Times New Roman"/>
          <w:sz w:val="24"/>
          <w:szCs w:val="24"/>
        </w:rPr>
        <w:t>5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5B1B82" w:rsidRPr="005B1B82">
        <w:rPr>
          <w:rFonts w:ascii="Times New Roman" w:hAnsi="Times New Roman"/>
          <w:b/>
          <w:sz w:val="24"/>
          <w:szCs w:val="24"/>
        </w:rPr>
        <w:t>669,7</w:t>
      </w:r>
      <w:r w:rsidR="008E6D97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5B1B82">
        <w:rPr>
          <w:rFonts w:ascii="Times New Roman" w:hAnsi="Times New Roman"/>
          <w:sz w:val="24"/>
          <w:szCs w:val="24"/>
        </w:rPr>
        <w:t xml:space="preserve">18,8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lastRenderedPageBreak/>
        <w:t xml:space="preserve">          Превышение </w:t>
      </w:r>
      <w:r w:rsidR="005B1B82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5B1B82">
        <w:rPr>
          <w:rFonts w:ascii="Times New Roman" w:hAnsi="Times New Roman"/>
          <w:sz w:val="24"/>
          <w:szCs w:val="24"/>
        </w:rPr>
        <w:t xml:space="preserve">расходами </w:t>
      </w:r>
      <w:r w:rsidRPr="005B1B82">
        <w:rPr>
          <w:rFonts w:ascii="Times New Roman" w:hAnsi="Times New Roman"/>
          <w:b/>
          <w:sz w:val="24"/>
          <w:szCs w:val="24"/>
        </w:rPr>
        <w:t>(</w:t>
      </w:r>
      <w:r w:rsidR="005B1B82" w:rsidRPr="005B1B82">
        <w:rPr>
          <w:rFonts w:ascii="Times New Roman" w:hAnsi="Times New Roman"/>
          <w:b/>
          <w:sz w:val="24"/>
          <w:szCs w:val="24"/>
        </w:rPr>
        <w:t>профицит</w:t>
      </w:r>
      <w:r w:rsidRPr="00002C02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5B1B82" w:rsidRPr="00CD699E">
        <w:rPr>
          <w:rFonts w:ascii="Times New Roman" w:hAnsi="Times New Roman"/>
          <w:b/>
          <w:sz w:val="24"/>
          <w:szCs w:val="24"/>
        </w:rPr>
        <w:t>61,5</w:t>
      </w:r>
      <w:r w:rsidR="005B1B82">
        <w:rPr>
          <w:rFonts w:ascii="Times New Roman" w:hAnsi="Times New Roman"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5B1B82">
        <w:rPr>
          <w:rFonts w:ascii="Times New Roman" w:hAnsi="Times New Roman"/>
          <w:sz w:val="24"/>
          <w:szCs w:val="24"/>
        </w:rPr>
        <w:t>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B82" w:rsidRDefault="005B1B82" w:rsidP="005B1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>по сравнению с</w:t>
      </w:r>
      <w:bookmarkStart w:id="0" w:name="_GoBack"/>
      <w:bookmarkEnd w:id="0"/>
      <w:r w:rsidRPr="00DB2204">
        <w:rPr>
          <w:rFonts w:ascii="Times New Roman" w:hAnsi="Times New Roman"/>
          <w:sz w:val="24"/>
          <w:szCs w:val="24"/>
        </w:rPr>
        <w:t xml:space="preserve">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333,5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83,9 % в первую очередь за счет увеличения безвозмездных поступлений на 329,2 тыс. рублей, в том числе дотаций на 277,6 тыс. рублей, или на 76,7 %. </w:t>
      </w:r>
    </w:p>
    <w:p w:rsidR="00D54BFA" w:rsidRPr="00DB2204" w:rsidRDefault="00D54BFA" w:rsidP="005B1B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54BFA" w:rsidRDefault="00D54BFA" w:rsidP="00D54BFA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2F2BA5">
        <w:rPr>
          <w:rFonts w:eastAsia="Calibri"/>
          <w:iCs/>
        </w:rPr>
        <w:t>Доля налоговых</w:t>
      </w:r>
      <w:r>
        <w:rPr>
          <w:rFonts w:eastAsia="Calibri"/>
          <w:iCs/>
        </w:rPr>
        <w:t xml:space="preserve"> и неналоговых</w:t>
      </w:r>
      <w:r w:rsidRPr="002F2BA5">
        <w:rPr>
          <w:rFonts w:eastAsia="Calibri"/>
          <w:iCs/>
        </w:rPr>
        <w:t xml:space="preserve"> доходов в общем объёме поступлений составила </w:t>
      </w:r>
      <w:r>
        <w:rPr>
          <w:rFonts w:eastAsia="Calibri"/>
          <w:iCs/>
        </w:rPr>
        <w:t xml:space="preserve">2,5 %, доля безвозмездных поступлений составила 97,5 %. Бюджет поселения зависит от внешних источников.  </w:t>
      </w:r>
    </w:p>
    <w:p w:rsidR="005B1B82" w:rsidRDefault="005B1B82" w:rsidP="005B1B82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D54BFA" w:rsidRDefault="00D54BFA" w:rsidP="00D54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2204"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271,5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68,2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разделу 0</w:t>
      </w:r>
      <w:r>
        <w:rPr>
          <w:rFonts w:ascii="Times New Roman" w:hAnsi="Times New Roman"/>
          <w:sz w:val="24"/>
          <w:szCs w:val="24"/>
        </w:rPr>
        <w:t>1</w:t>
      </w:r>
      <w:r w:rsidRPr="00F613C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102,4 тыс. рублей и «Культура, кинематография» на 138,2 тыс. рублей.</w:t>
      </w:r>
    </w:p>
    <w:p w:rsidR="00002C02" w:rsidRPr="00400DD6" w:rsidRDefault="00002C02" w:rsidP="00D54BFA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D54BFA">
        <w:rPr>
          <w:rFonts w:ascii="Times New Roman" w:hAnsi="Times New Roman"/>
          <w:sz w:val="24"/>
          <w:szCs w:val="24"/>
        </w:rPr>
        <w:t>53,7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D54BFA">
        <w:rPr>
          <w:rFonts w:ascii="Times New Roman" w:hAnsi="Times New Roman"/>
          <w:sz w:val="24"/>
          <w:szCs w:val="24"/>
        </w:rPr>
        <w:t>24,3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D54BFA">
        <w:rPr>
          <w:rFonts w:ascii="Times New Roman" w:hAnsi="Times New Roman"/>
          <w:sz w:val="24"/>
          <w:szCs w:val="24"/>
        </w:rPr>
        <w:t>224,9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D54BFA">
        <w:rPr>
          <w:rFonts w:ascii="Times New Roman" w:hAnsi="Times New Roman"/>
          <w:sz w:val="24"/>
          <w:szCs w:val="24"/>
        </w:rPr>
        <w:t>33,6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D54BFA">
        <w:rPr>
          <w:rFonts w:ascii="Times New Roman" w:hAnsi="Times New Roman"/>
          <w:sz w:val="24"/>
          <w:szCs w:val="24"/>
        </w:rPr>
        <w:t>69,7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D54BFA">
        <w:rPr>
          <w:rFonts w:ascii="Times New Roman" w:hAnsi="Times New Roman"/>
          <w:sz w:val="24"/>
          <w:szCs w:val="24"/>
        </w:rPr>
        <w:t>10,4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0D9" w:rsidRDefault="003710D9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Pr="007612FC">
        <w:rPr>
          <w:rFonts w:ascii="Times New Roman" w:hAnsi="Times New Roman"/>
          <w:sz w:val="24"/>
          <w:szCs w:val="24"/>
        </w:rPr>
        <w:t xml:space="preserve">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Pr="006833BB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E2" w:rsidRDefault="00181EE2" w:rsidP="009C2D9D">
      <w:pPr>
        <w:spacing w:after="0" w:line="240" w:lineRule="auto"/>
      </w:pPr>
      <w:r>
        <w:separator/>
      </w:r>
    </w:p>
  </w:endnote>
  <w:endnote w:type="continuationSeparator" w:id="0">
    <w:p w:rsidR="00181EE2" w:rsidRDefault="00181EE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E2" w:rsidRDefault="00181EE2" w:rsidP="009C2D9D">
      <w:pPr>
        <w:spacing w:after="0" w:line="240" w:lineRule="auto"/>
      </w:pPr>
      <w:r>
        <w:separator/>
      </w:r>
    </w:p>
  </w:footnote>
  <w:footnote w:type="continuationSeparator" w:id="0">
    <w:p w:rsidR="00181EE2" w:rsidRDefault="00181EE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81EE2"/>
    <w:rsid w:val="00190C0E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56C7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1B82"/>
    <w:rsid w:val="005B3649"/>
    <w:rsid w:val="005B5F15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249C"/>
    <w:rsid w:val="00B938E6"/>
    <w:rsid w:val="00BA457D"/>
    <w:rsid w:val="00BA764D"/>
    <w:rsid w:val="00BB0056"/>
    <w:rsid w:val="00BC4D7A"/>
    <w:rsid w:val="00BC63CB"/>
    <w:rsid w:val="00BE2E6F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D699E"/>
    <w:rsid w:val="00CF348A"/>
    <w:rsid w:val="00D2337F"/>
    <w:rsid w:val="00D244A7"/>
    <w:rsid w:val="00D44CBD"/>
    <w:rsid w:val="00D4647A"/>
    <w:rsid w:val="00D54BF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19B4-26B6-41B2-8D94-270FE4C4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34</cp:revision>
  <cp:lastPrinted>2019-06-26T12:52:00Z</cp:lastPrinted>
  <dcterms:created xsi:type="dcterms:W3CDTF">2015-05-25T05:36:00Z</dcterms:created>
  <dcterms:modified xsi:type="dcterms:W3CDTF">2019-06-26T12:52:00Z</dcterms:modified>
</cp:coreProperties>
</file>