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58" w:rsidRDefault="00316F58" w:rsidP="0031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3C40" w:rsidRPr="00FE520B" w:rsidRDefault="00C43C40" w:rsidP="00B0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3C40" w:rsidRPr="002519A2" w:rsidRDefault="00C43C40" w:rsidP="00B02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proofErr w:type="spellStart"/>
      <w:r w:rsidRPr="002519A2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2519A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3C40" w:rsidRPr="002519A2" w:rsidRDefault="00C43C40" w:rsidP="00B02450">
      <w:pPr>
        <w:spacing w:after="0" w:line="240" w:lineRule="auto"/>
        <w:jc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>о вып</w:t>
      </w:r>
      <w:r w:rsidR="001317B2" w:rsidRPr="002519A2">
        <w:rPr>
          <w:rFonts w:ascii="Times New Roman" w:hAnsi="Times New Roman" w:cs="Times New Roman"/>
          <w:sz w:val="24"/>
          <w:szCs w:val="24"/>
        </w:rPr>
        <w:t xml:space="preserve">олнении переданных полномочий  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контро</w:t>
      </w:r>
      <w:r w:rsidR="00E14923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льно- счетного органа </w:t>
      </w:r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>Совета</w:t>
      </w:r>
      <w:r w:rsidR="0055507D">
        <w:rPr>
          <w:rFonts w:ascii="Times New Roman" w:hAnsi="Times New Roman" w:cs="Times New Roman"/>
          <w:spacing w:val="3"/>
          <w:sz w:val="24"/>
          <w:szCs w:val="24"/>
        </w:rPr>
        <w:t xml:space="preserve"> сельского поселения </w:t>
      </w:r>
      <w:proofErr w:type="spellStart"/>
      <w:proofErr w:type="gramStart"/>
      <w:r w:rsidR="0055507D">
        <w:rPr>
          <w:rFonts w:ascii="Times New Roman" w:hAnsi="Times New Roman" w:cs="Times New Roman"/>
          <w:spacing w:val="3"/>
          <w:sz w:val="24"/>
          <w:szCs w:val="24"/>
        </w:rPr>
        <w:t>Андомское</w:t>
      </w:r>
      <w:proofErr w:type="spellEnd"/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по</w:t>
      </w:r>
      <w:proofErr w:type="gramEnd"/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осуществлению</w:t>
      </w:r>
      <w:r w:rsidR="00C40F6A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>внешнего муниципал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>ьного финансового контроля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соответствии</w:t>
      </w:r>
      <w:r w:rsidR="00C40F6A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 Соглашением </w:t>
      </w:r>
      <w:r w:rsidR="00072F79"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№ 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3</w:t>
      </w:r>
      <w:r w:rsidR="00072F79"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29</w:t>
      </w:r>
      <w:r w:rsidR="00D044F0" w:rsidRPr="002519A2">
        <w:rPr>
          <w:rFonts w:ascii="Times New Roman" w:hAnsi="Times New Roman" w:cs="Times New Roman"/>
          <w:iCs/>
          <w:spacing w:val="-2"/>
          <w:sz w:val="24"/>
          <w:szCs w:val="24"/>
        </w:rPr>
        <w:t>.12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.2018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</w:p>
    <w:p w:rsidR="00C43C40" w:rsidRPr="00FE520B" w:rsidRDefault="00C43C40" w:rsidP="00C43C40">
      <w:pPr>
        <w:spacing w:after="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71039" w:rsidRDefault="00E0619E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Представительное Собрание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и Ревизионную комиссию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9D1E1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ого</w:t>
      </w:r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р</w:t>
      </w:r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айона  в</w:t>
      </w:r>
      <w:proofErr w:type="gramEnd"/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период с 1 января по 31 декабря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 поступило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___</w:t>
      </w:r>
      <w:r w:rsidR="00A46C8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F85899">
        <w:rPr>
          <w:rFonts w:ascii="Times New Roman" w:hAnsi="Times New Roman" w:cs="Times New Roman"/>
          <w:iCs/>
          <w:spacing w:val="-2"/>
          <w:sz w:val="24"/>
          <w:szCs w:val="24"/>
        </w:rPr>
        <w:t>___ предложения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C40F6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4071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___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47</w:t>
      </w:r>
      <w:r w:rsidR="00932E5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F85899">
        <w:rPr>
          <w:rFonts w:ascii="Times New Roman" w:hAnsi="Times New Roman" w:cs="Times New Roman"/>
          <w:iCs/>
          <w:spacing w:val="-2"/>
          <w:sz w:val="24"/>
          <w:szCs w:val="24"/>
        </w:rPr>
        <w:t>___обращений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 проведении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40D92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контрольных и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экспертно-аналитических мероприятий, в соответствии с заключенным Соглашением.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Инициаторами проведения мероприятий были:</w:t>
      </w:r>
    </w:p>
    <w:p w:rsidR="00491595" w:rsidRDefault="00491595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-Ревизионная комиссия ВМР </w:t>
      </w:r>
      <w:proofErr w:type="gramStart"/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>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0</w:t>
      </w:r>
      <w:proofErr w:type="gramEnd"/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462D99" w:rsidRPr="00471039" w:rsidRDefault="00462D99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-другие инициаторы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– </w:t>
      </w:r>
      <w:proofErr w:type="spellStart"/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Вытегорский</w:t>
      </w:r>
      <w:proofErr w:type="spellEnd"/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военкомат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– 1 (контрольное),</w:t>
      </w:r>
    </w:p>
    <w:p w:rsidR="0055507D" w:rsidRPr="00450ABF" w:rsidRDefault="00450ABF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-Совет сельского поселения </w:t>
      </w:r>
      <w:proofErr w:type="spellStart"/>
      <w:r w:rsidR="0055507D">
        <w:rPr>
          <w:rFonts w:ascii="Times New Roman" w:hAnsi="Times New Roman" w:cs="Times New Roman"/>
          <w:iCs/>
          <w:spacing w:val="-2"/>
          <w:sz w:val="24"/>
          <w:szCs w:val="24"/>
        </w:rPr>
        <w:t>Андомское</w:t>
      </w:r>
      <w:proofErr w:type="spellEnd"/>
      <w:r w:rsidR="0055507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46</w:t>
      </w:r>
      <w:r w:rsidR="0055507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(экспертно-аналитических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462D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412211" w:rsidRDefault="0012510B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12510B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</w:t>
      </w:r>
    </w:p>
    <w:p w:rsidR="00412211" w:rsidRPr="00B02450" w:rsidRDefault="00B02450" w:rsidP="00B0245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</w:t>
      </w:r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</w:t>
      </w:r>
      <w:r w:rsidR="0012510B" w:rsidRPr="00462D99">
        <w:rPr>
          <w:rFonts w:ascii="Times New Roman" w:hAnsi="Times New Roman" w:cs="Times New Roman"/>
          <w:b/>
          <w:iCs/>
          <w:spacing w:val="-2"/>
          <w:sz w:val="24"/>
          <w:szCs w:val="24"/>
        </w:rPr>
        <w:t>Контроль</w:t>
      </w:r>
      <w:r w:rsidR="00462D99" w:rsidRPr="00462D99">
        <w:rPr>
          <w:rFonts w:ascii="Times New Roman" w:hAnsi="Times New Roman" w:cs="Times New Roman"/>
          <w:b/>
          <w:iCs/>
          <w:spacing w:val="-2"/>
          <w:sz w:val="24"/>
          <w:szCs w:val="24"/>
        </w:rPr>
        <w:t>ная деятельность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отчетном 2019</w:t>
      </w:r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году осуществлялась в соответствии с Положением о Ревизионной ком</w:t>
      </w:r>
      <w:r w:rsidR="00FB488C">
        <w:rPr>
          <w:rFonts w:ascii="Times New Roman" w:hAnsi="Times New Roman" w:cs="Times New Roman"/>
          <w:iCs/>
          <w:spacing w:val="-2"/>
          <w:sz w:val="24"/>
          <w:szCs w:val="24"/>
        </w:rPr>
        <w:t>иссии ВМР, Планом работы на 2019</w:t>
      </w:r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год, регламентом Ревизионной комиссии </w:t>
      </w:r>
      <w:proofErr w:type="spellStart"/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района, утвержденным распоряжением Председателя Представительного Собрания </w:t>
      </w:r>
      <w:proofErr w:type="spellStart"/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12510B"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№ 7 от 20.01.2014 года. При проведении контрольных мероприятий Ревизионная комиссия руководствовалась приказом Председателя Ревизионной комиссии № 13 от 01.07.2014 года «Об утверждении стандарта внешнего муниципального финансового контроля».     </w:t>
      </w:r>
    </w:p>
    <w:p w:rsidR="00FB488C" w:rsidRPr="00F2696A" w:rsidRDefault="00B02450" w:rsidP="00FB4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</w:t>
      </w:r>
      <w:r w:rsidR="00FB488C" w:rsidRPr="00F2696A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Проверка проведена по теме «Анализ расходования субвенции на осуществление полномочий по первичному воинскому учету на территориях, где отсутствуют военные комиссариаты».</w:t>
      </w:r>
    </w:p>
    <w:p w:rsidR="00FB488C" w:rsidRDefault="00FB488C" w:rsidP="00FB488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Общая сумма проверенных </w:t>
      </w:r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средств </w:t>
      </w:r>
      <w:r w:rsidRPr="00FB488C">
        <w:rPr>
          <w:rFonts w:ascii="Times New Roman" w:hAnsi="Times New Roman" w:cs="Times New Roman"/>
          <w:iCs/>
          <w:spacing w:val="-2"/>
          <w:sz w:val="24"/>
          <w:szCs w:val="24"/>
        </w:rPr>
        <w:t>– 218,2</w:t>
      </w:r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DE5C7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Выявлено </w:t>
      </w:r>
      <w:r w:rsidR="007A6326" w:rsidRPr="00DE5C7B">
        <w:rPr>
          <w:rFonts w:ascii="Times New Roman" w:hAnsi="Times New Roman" w:cs="Times New Roman"/>
          <w:iCs/>
          <w:spacing w:val="-2"/>
          <w:sz w:val="24"/>
          <w:szCs w:val="24"/>
        </w:rPr>
        <w:t>3 нарушения</w:t>
      </w:r>
      <w:r w:rsidRPr="00DE5C7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федерального законодательства о закупках на сумму </w:t>
      </w:r>
      <w:r w:rsidR="007A6326" w:rsidRPr="00DE5C7B">
        <w:rPr>
          <w:rFonts w:ascii="Times New Roman" w:hAnsi="Times New Roman" w:cs="Times New Roman"/>
          <w:iCs/>
          <w:spacing w:val="-2"/>
          <w:sz w:val="24"/>
          <w:szCs w:val="24"/>
        </w:rPr>
        <w:t>7,7</w:t>
      </w:r>
      <w:r w:rsidRPr="00DE5C7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тыс. рублей. В ходе проведения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контрольного мероприятия установлено:</w:t>
      </w:r>
    </w:p>
    <w:p w:rsidR="00FB488C" w:rsidRDefault="00FB488C" w:rsidP="00FB4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Средства, выделенные в 2018 году на организацию первичного воинского учета на территории сельского поселения </w:t>
      </w:r>
      <w:proofErr w:type="spellStart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Андомское</w:t>
      </w:r>
      <w:proofErr w:type="spellEnd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использованы в полном объеме и по целевому назначению.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Направления расходования субвенции соответствуют направлениям расходования установленным </w:t>
      </w:r>
      <w:hyperlink w:anchor="Par35" w:tooltip="МЕТОДИКА" w:history="1">
        <w:r w:rsidRPr="00FB488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Методикой</w:t>
        </w:r>
      </w:hyperlink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распределения между субъектами Российской Федерации субвенций из федерального бюджета на осуществление полномочий по первичному воинскому учету на территориях, где отсутствуют военные комиссариаты, утвержденной постановлением Правительства Российской Федерации от 29.04.2006 г. № 258 </w:t>
      </w:r>
      <w:r w:rsidRPr="00FB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субвенциях на осуществление полномочий по первичному воинскому учету на территориях, где отсутствуют военные комиссариаты». </w:t>
      </w: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 течение 2018 года поступление субвенций на организацию первичного воинского учета на территории сельского поселения </w:t>
      </w:r>
      <w:proofErr w:type="spellStart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Андомское</w:t>
      </w:r>
      <w:proofErr w:type="spellEnd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увеличено на 4 тыс. рублей по сравнению с первоначальным плановым показателем.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2018 году по сравнению с 2017 годом кассовые расходы на организацию первичного воинского учета увеличились на 18,3 тыс. рублей, или на 9,2 %.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 Осуществление закупок с целью исполнения полномочий по первичному воинскому учету в 2018 году производилось без проведения конкурентных процедур. В основном все закупки осуществлены на основании пункта 4 части 1 статьи 93 Федерального закона № 44 – ФЗ как закупки у единственного поставщика на сумму не превышающей 100,0 тыс. рублей, что является обоснованным для расходов малых объемов.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Договоры для осуществления закупок с целью исполнения полномочий по первичному воинскому учету заключались в пределах лимитов бюджетных обязательств, доведенных на закупки с целью исполнения полномочий по воинскому учету.  </w:t>
      </w: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Закупки услуг по обслуживанию программного обеспечения занимают наибольшую долю в общем объеме всех закупок (50,5 %), произведенных для исполнения полномочий по воинскому учету.</w:t>
      </w: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Оплата обязательств, связанных с организацией первичного воинского учета, произведена согласно первичных документов, в пределах лимитов бюджетных обязательств.   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В ходе анализа организационного и нормативного обеспечения закупок установлено: необходимые нормативно – правовые акты в сфере закупок администрацией поселения </w:t>
      </w:r>
      <w:proofErr w:type="spellStart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Андомское</w:t>
      </w:r>
      <w:proofErr w:type="spellEnd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приняты. 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 При проверке соблюдения норм Федерального закона 44 - ФЗ при заключении и исполнении договоров установлено: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нарушение части 2 статьи 34 Закона № 44- ФЗ отсутствует условие, что цена контракта является твердой и определяется на весь срок исполнения контракта в </w:t>
      </w:r>
      <w:r w:rsidRPr="00FB488C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оговоре поставки № 71 от 10.12.2018 г. на сумму 2,4 тыс. рублей с предпринимателем </w:t>
      </w:r>
      <w:proofErr w:type="spellStart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Бурмистровым</w:t>
      </w:r>
      <w:proofErr w:type="spellEnd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А.К.;</w:t>
      </w: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с нарушением норм </w:t>
      </w:r>
      <w:r w:rsidRPr="00FB488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части 13.1 статьи 34 Федерального закона 44-ФЗ произведена оплата </w:t>
      </w: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договору 180210 на обслуживание программного обеспечения от 02.02.2018 г. заключенному с ООО «Центр «Новые Технологии» -  оплачено работ с нарушением сроков на сумму 2,9 тыс. рублей; </w:t>
      </w:r>
    </w:p>
    <w:p w:rsidR="00FB488C" w:rsidRPr="00FB488C" w:rsidRDefault="00FB488C" w:rsidP="00FB488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B48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нарушением сроков, указанных в договоре, осуществлена поставка товара по договору 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поставки № 71 от 10.12.2018 г. заключенному администрацией сельского поселения </w:t>
      </w:r>
      <w:proofErr w:type="spellStart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Андомское</w:t>
      </w:r>
      <w:proofErr w:type="spellEnd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2,4 тыс. рублей с предпринимателем </w:t>
      </w:r>
      <w:proofErr w:type="spellStart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Бурмистровым</w:t>
      </w:r>
      <w:proofErr w:type="spellEnd"/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А.К. (</w:t>
      </w:r>
      <w:r w:rsidRPr="00FB48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части 2 статьи 94 </w:t>
      </w: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№ 44 –ФЗ</w:t>
      </w:r>
      <w:r w:rsidRPr="00FB48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Нарушение сроков поставки – 23 дня; 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Расходы на закупки за счет средств, предназначенных на осуществление первичного воинского учета, следует признать эффективными, но не результативными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(поставщиком нарушены сроки поставки товара)</w:t>
      </w: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488C" w:rsidRPr="00FB488C" w:rsidRDefault="00FB488C" w:rsidP="00FB4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Целесообразность расходов на закупки на организацию первичного воинского учета подтверждается наличием обоснованных муниципальных нужд, необходимых для выполнения полномочий администрациями сельских поселений.</w:t>
      </w:r>
    </w:p>
    <w:p w:rsidR="00FB488C" w:rsidRDefault="00FB488C" w:rsidP="00FB488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FB488C" w:rsidRPr="00854646" w:rsidRDefault="00FB488C" w:rsidP="00FB488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Ревизионной комиссией ВМР по результатам контро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льного мероприятия руководителю Администрации направлено информационное письмо</w:t>
      </w: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 предложениями об устранении в работе нарушений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и усилению внутреннего контроля:</w:t>
      </w:r>
    </w:p>
    <w:p w:rsidR="00FB488C" w:rsidRPr="00FB488C" w:rsidRDefault="00FB488C" w:rsidP="00FB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FB488C">
        <w:rPr>
          <w:rFonts w:ascii="Times New Roman" w:eastAsia="Times New Roman" w:hAnsi="Times New Roman" w:cs="Times New Roman"/>
          <w:sz w:val="24"/>
          <w:szCs w:val="24"/>
        </w:rPr>
        <w:t xml:space="preserve"> дальнейшей работе исключить нарушения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FB488C" w:rsidRPr="00FB488C" w:rsidRDefault="00FB488C" w:rsidP="00FB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88C">
        <w:rPr>
          <w:rFonts w:ascii="Calibri" w:eastAsia="Times New Roman" w:hAnsi="Calibri" w:cs="Times New Roman"/>
        </w:rPr>
        <w:t xml:space="preserve"> </w:t>
      </w:r>
      <w:r w:rsidRPr="00FB488C">
        <w:rPr>
          <w:rFonts w:ascii="Times New Roman" w:eastAsia="Times New Roman" w:hAnsi="Times New Roman" w:cs="Times New Roman"/>
          <w:sz w:val="24"/>
          <w:szCs w:val="24"/>
        </w:rPr>
        <w:t>части 2 статьи 34 Федерального закона № 44- ФЗ - отсутствие обязательных условий в муниципальных контрактах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488C" w:rsidRPr="00FB488C" w:rsidRDefault="00FB488C" w:rsidP="00FB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8C">
        <w:rPr>
          <w:rFonts w:ascii="Times New Roman" w:eastAsia="Times New Roman" w:hAnsi="Times New Roman" w:cs="Times New Roman"/>
          <w:sz w:val="24"/>
          <w:szCs w:val="24"/>
        </w:rPr>
        <w:t xml:space="preserve">- части 13.1 статьи 34 Федерального закона 44-ФЗ - соблюдение условий заключенных контрактов в части соблюдения сроков оплаты; </w:t>
      </w:r>
    </w:p>
    <w:p w:rsidR="00FB488C" w:rsidRPr="00FB488C" w:rsidRDefault="00FB488C" w:rsidP="00FB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8C">
        <w:rPr>
          <w:rFonts w:ascii="Times New Roman" w:eastAsia="Times New Roman" w:hAnsi="Times New Roman" w:cs="Times New Roman"/>
          <w:sz w:val="24"/>
          <w:szCs w:val="24"/>
        </w:rPr>
        <w:t>- части 2 статьи 94 Федерального закона № 44- ФЗ</w:t>
      </w:r>
      <w:r w:rsidRPr="00FB488C">
        <w:rPr>
          <w:rFonts w:ascii="Calibri" w:eastAsia="Times New Roman" w:hAnsi="Calibri" w:cs="Times New Roman"/>
        </w:rPr>
        <w:t xml:space="preserve"> </w:t>
      </w:r>
      <w:r w:rsidRPr="00FB488C">
        <w:rPr>
          <w:rFonts w:ascii="Times New Roman" w:eastAsia="Times New Roman" w:hAnsi="Times New Roman" w:cs="Times New Roman"/>
          <w:sz w:val="24"/>
          <w:szCs w:val="24"/>
        </w:rPr>
        <w:t>– нарушение Поставщиком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поставки товара</w:t>
      </w:r>
      <w:r w:rsidRPr="00FB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88C" w:rsidRPr="00FB488C" w:rsidRDefault="00FB488C" w:rsidP="00FB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88C" w:rsidRDefault="00FB488C" w:rsidP="00FB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8C" w:rsidRDefault="00FB488C" w:rsidP="00FB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8C" w:rsidRDefault="00FB488C" w:rsidP="00FB488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FB488C" w:rsidRPr="00854646" w:rsidRDefault="00FB488C" w:rsidP="00FB488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>Нарушения отражены в акте и отчёте. Отчет о контрольном мероприятий направлен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инициатору мероприятия – в </w:t>
      </w:r>
      <w:proofErr w:type="spellStart"/>
      <w:r>
        <w:rPr>
          <w:rFonts w:ascii="Times New Roman" w:hAnsi="Times New Roman" w:cs="Times New Roman"/>
          <w:iCs/>
          <w:spacing w:val="-2"/>
          <w:sz w:val="24"/>
          <w:szCs w:val="24"/>
        </w:rPr>
        <w:t>Вытегорский</w:t>
      </w:r>
      <w:proofErr w:type="spellEnd"/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военкомат,</w:t>
      </w: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Главе </w:t>
      </w:r>
      <w:proofErr w:type="spellStart"/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района. Материалы проверки направлены в Прокуратуру для правовой оценки действий должностных лиц.</w:t>
      </w:r>
    </w:p>
    <w:p w:rsidR="007A6326" w:rsidRPr="007A6326" w:rsidRDefault="00FB488C" w:rsidP="007A632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Согласно получен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ой информации от Глав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ы поселения</w:t>
      </w:r>
      <w:r w:rsidR="007A63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</w:t>
      </w:r>
      <w:r w:rsidR="007A6326" w:rsidRPr="007A6326">
        <w:rPr>
          <w:rFonts w:ascii="Times New Roman" w:eastAsia="Calibri" w:hAnsi="Times New Roman" w:cs="Times New Roman"/>
          <w:sz w:val="24"/>
          <w:szCs w:val="24"/>
        </w:rPr>
        <w:t xml:space="preserve">редложения об исключении в дальнейшей работе фактов нарушения Федерального закона № 44- ФЗ </w:t>
      </w:r>
      <w:r w:rsidR="007A6326" w:rsidRPr="007A63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 контрактной системе в сфере закупок товаров, работ, услуг для обеспечения государственных и муниципальных нужд» будут учтены. </w:t>
      </w:r>
    </w:p>
    <w:p w:rsidR="00FB488C" w:rsidRPr="007A6326" w:rsidRDefault="007A6326" w:rsidP="007A632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63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За нарушение Федерального закона Российской Федерации от 01.04.2013 № 44-ФЗ «О контрактной системе в сфере закупок товаров, работ, для обеспечения государственных и муниципальных нужд»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Департаментом финансов ВО </w:t>
      </w:r>
      <w:r w:rsidRPr="007A63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возбуждено административное дело, но прекращено в связи с малозначительностью нарушения. </w:t>
      </w:r>
    </w:p>
    <w:p w:rsidR="0012510B" w:rsidRDefault="0012510B" w:rsidP="00450ABF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875EE9" w:rsidRDefault="00962AC8" w:rsidP="00D423EE">
      <w:pPr>
        <w:spacing w:after="0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В 2018 году п</w:t>
      </w:r>
      <w:r w:rsidR="00C43C40"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роведено </w:t>
      </w:r>
      <w:r w:rsidR="00C43C40" w:rsidRPr="00962AC8">
        <w:rPr>
          <w:rFonts w:ascii="Times New Roman" w:hAnsi="Times New Roman" w:cs="Times New Roman"/>
          <w:b/>
          <w:iCs/>
          <w:spacing w:val="-2"/>
          <w:sz w:val="24"/>
          <w:szCs w:val="24"/>
        </w:rPr>
        <w:t>экспертно-аналитических мероприятий</w:t>
      </w:r>
      <w:r w:rsidR="00C43C40"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всего 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A6326">
        <w:rPr>
          <w:rFonts w:ascii="Times New Roman" w:hAnsi="Times New Roman" w:cs="Times New Roman"/>
          <w:iCs/>
          <w:spacing w:val="-2"/>
          <w:sz w:val="24"/>
          <w:szCs w:val="24"/>
        </w:rPr>
        <w:t>46</w:t>
      </w:r>
      <w:r w:rsidR="00471039" w:rsidRPr="00450ABF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C43C40"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том числе:</w:t>
      </w:r>
    </w:p>
    <w:p w:rsidR="007A6326" w:rsidRPr="00B02450" w:rsidRDefault="007A6326" w:rsidP="00D423EE">
      <w:pPr>
        <w:spacing w:after="0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93A28" w:rsidRPr="004F6404" w:rsidRDefault="00C43C40" w:rsidP="004F640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Анализ</w:t>
      </w:r>
      <w:r w:rsidR="00E14923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испол</w:t>
      </w:r>
      <w:r w:rsidR="0035759B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нения бюджета</w:t>
      </w:r>
      <w:r w:rsidR="0055507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55507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Андомское</w:t>
      </w:r>
      <w:proofErr w:type="spellEnd"/>
      <w:r w:rsidR="00E14923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за</w:t>
      </w:r>
      <w:r w:rsidR="00E14923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A358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2018</w:t>
      </w:r>
      <w:r w:rsidR="00FB1B5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</w:t>
      </w:r>
      <w:r w:rsidR="00CA358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30.04.2019</w:t>
      </w:r>
      <w:r w:rsidR="0035759B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</w:t>
      </w:r>
      <w:proofErr w:type="gramStart"/>
      <w:r w:rsidR="00702C3C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FB1B5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,  за</w:t>
      </w:r>
      <w:proofErr w:type="gramEnd"/>
      <w:r w:rsidR="00FB1B5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 </w:t>
      </w:r>
      <w:r w:rsidR="00CA358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квартал 2019</w:t>
      </w:r>
      <w:r w:rsidR="00E14923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CA358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25.06.2019</w:t>
      </w:r>
      <w:r w:rsidR="0035759B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29453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9A4F6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 1 полугодие</w:t>
      </w:r>
      <w:r w:rsidR="00CA358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E14923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CA358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26.08.2019</w:t>
      </w:r>
      <w:r w:rsidR="0035759B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9A4F6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, за</w:t>
      </w:r>
      <w:r w:rsidR="0029453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A358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9 месяцев 2019</w:t>
      </w: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</w:t>
      </w:r>
      <w:r w:rsidR="00CA358E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20.11.2019</w:t>
      </w:r>
      <w:r w:rsidR="0035759B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B4A0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93A28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всего  </w:t>
      </w: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="0035759B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4 заключения</w:t>
      </w:r>
      <w:r w:rsidR="0054673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546735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П</w:t>
      </w:r>
      <w:r w:rsidR="00FB1B55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 </w:t>
      </w:r>
      <w:r w:rsidR="00702C3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результатам анализа </w:t>
      </w:r>
      <w:r w:rsidR="00962AC8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выявлено</w:t>
      </w:r>
      <w:r w:rsidR="00CA358E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6</w:t>
      </w:r>
      <w:r w:rsidR="0055507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5759B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нарушений </w:t>
      </w:r>
      <w:r w:rsidR="00962AC8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бюджетного законодательства и </w:t>
      </w:r>
      <w:r w:rsidR="00CA358E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1 </w:t>
      </w:r>
      <w:r w:rsidR="00962AC8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недостат</w:t>
      </w:r>
      <w:r w:rsidR="00CA358E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ок</w:t>
      </w:r>
      <w:r w:rsidR="00962AC8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55507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по которым направлены предложения об устранении</w:t>
      </w:r>
      <w:r w:rsidR="0035759B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702C3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Охват экспертизой бюджетных средств</w:t>
      </w:r>
      <w:r w:rsidR="00CA358E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составил 34519,7</w:t>
      </w:r>
      <w:r w:rsidR="00702C3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702C3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702C3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AE249F" w:rsidRDefault="00AE249F" w:rsidP="00D423E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123"/>
        <w:gridCol w:w="1818"/>
      </w:tblGrid>
      <w:tr w:rsidR="007A6326" w:rsidRPr="00F471A5" w:rsidTr="009A657D"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       </w:t>
            </w:r>
            <w:proofErr w:type="gramStart"/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   </w:t>
            </w:r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(</w:t>
            </w:r>
            <w:proofErr w:type="gramEnd"/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с учетом поселения </w:t>
            </w:r>
            <w:proofErr w:type="spellStart"/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Саминское</w:t>
            </w:r>
            <w:proofErr w:type="spellEnd"/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    </w:t>
            </w:r>
            <w:proofErr w:type="gramStart"/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   (</w:t>
            </w:r>
            <w:proofErr w:type="gramEnd"/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с учетом поселения </w:t>
            </w:r>
            <w:proofErr w:type="spellStart"/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Саминское</w:t>
            </w:r>
            <w:proofErr w:type="spellEnd"/>
            <w:r w:rsidR="009E12A3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)</w:t>
            </w:r>
          </w:p>
        </w:tc>
        <w:tc>
          <w:tcPr>
            <w:tcW w:w="1123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 к уровню 2018 года</w:t>
            </w:r>
          </w:p>
        </w:tc>
      </w:tr>
      <w:tr w:rsidR="007A6326" w:rsidRPr="00F471A5" w:rsidTr="009A657D"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7A6326" w:rsidRPr="00F471A5" w:rsidRDefault="00B459ED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A6326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123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7A6326" w:rsidRPr="00F471A5" w:rsidTr="009A657D"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19850,5</w:t>
            </w:r>
          </w:p>
        </w:tc>
        <w:tc>
          <w:tcPr>
            <w:tcW w:w="1134" w:type="dxa"/>
          </w:tcPr>
          <w:p w:rsidR="007A6326" w:rsidRPr="00F471A5" w:rsidRDefault="00B459ED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30715,4</w:t>
            </w:r>
          </w:p>
        </w:tc>
        <w:tc>
          <w:tcPr>
            <w:tcW w:w="1123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34519,7</w:t>
            </w:r>
          </w:p>
        </w:tc>
        <w:tc>
          <w:tcPr>
            <w:tcW w:w="1818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+3804,3</w:t>
            </w:r>
          </w:p>
        </w:tc>
      </w:tr>
      <w:tr w:rsidR="007A6326" w:rsidRPr="00F471A5" w:rsidTr="009A657D"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 / 0</w:t>
            </w:r>
          </w:p>
        </w:tc>
        <w:tc>
          <w:tcPr>
            <w:tcW w:w="1134" w:type="dxa"/>
          </w:tcPr>
          <w:p w:rsidR="007A6326" w:rsidRPr="00F471A5" w:rsidRDefault="00B459ED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 / 1437,8</w:t>
            </w:r>
          </w:p>
        </w:tc>
        <w:tc>
          <w:tcPr>
            <w:tcW w:w="1123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 / 0</w:t>
            </w:r>
          </w:p>
        </w:tc>
        <w:tc>
          <w:tcPr>
            <w:tcW w:w="1818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-4</w:t>
            </w:r>
          </w:p>
        </w:tc>
      </w:tr>
      <w:tr w:rsidR="007A6326" w:rsidRPr="00F471A5" w:rsidTr="009A657D"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фактов расходования </w:t>
            </w:r>
            <w:proofErr w:type="gramStart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бюджетных средств</w:t>
            </w:r>
            <w:proofErr w:type="gramEnd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не отвечающих принципу эффективности и экономности.</w:t>
            </w:r>
          </w:p>
        </w:tc>
        <w:tc>
          <w:tcPr>
            <w:tcW w:w="1276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A6326" w:rsidRPr="00F471A5" w:rsidRDefault="00B459ED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40,5</w:t>
            </w:r>
          </w:p>
        </w:tc>
        <w:tc>
          <w:tcPr>
            <w:tcW w:w="1123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7A6326" w:rsidRPr="00F471A5" w:rsidTr="009A657D"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A6326" w:rsidRPr="00F471A5" w:rsidRDefault="00B459ED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7A6326" w:rsidRPr="00F471A5" w:rsidTr="009A657D"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276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A6326" w:rsidRPr="00F471A5" w:rsidRDefault="00B459ED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7A6326" w:rsidRPr="00F471A5" w:rsidTr="009A657D"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1276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A6326" w:rsidRPr="00F471A5" w:rsidRDefault="00B459ED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123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</w:t>
            </w:r>
          </w:p>
        </w:tc>
      </w:tr>
    </w:tbl>
    <w:p w:rsidR="007A6326" w:rsidRDefault="007A6326" w:rsidP="00CA358E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93A28" w:rsidRPr="004F6404" w:rsidRDefault="00C43C40" w:rsidP="004F640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Подготовлено </w:t>
      </w:r>
      <w:r w:rsidR="00CA358E">
        <w:rPr>
          <w:rFonts w:ascii="Times New Roman" w:hAnsi="Times New Roman" w:cs="Times New Roman"/>
          <w:iCs/>
          <w:spacing w:val="-2"/>
          <w:sz w:val="24"/>
          <w:szCs w:val="24"/>
        </w:rPr>
        <w:t>11</w:t>
      </w:r>
      <w:r w:rsidR="00AE249F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заключений на</w:t>
      </w:r>
      <w:r w:rsidR="003B4A0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</w:t>
      </w:r>
      <w:r w:rsidR="00450ABF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55507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55507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Андомское</w:t>
      </w:r>
      <w:proofErr w:type="spellEnd"/>
      <w:r w:rsidR="003B4A0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3B4A0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о  внесении</w:t>
      </w:r>
      <w:proofErr w:type="gramEnd"/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из</w:t>
      </w:r>
      <w:r w:rsidR="00A46C86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менений в </w:t>
      </w:r>
      <w:r w:rsidR="00450ABF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бюджет поселения</w:t>
      </w:r>
      <w:r w:rsidR="00C93A28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62AC8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D1E10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(заключения </w:t>
      </w:r>
      <w:r w:rsidR="00C40F6A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CA358E">
        <w:rPr>
          <w:rFonts w:ascii="Times New Roman" w:hAnsi="Times New Roman" w:cs="Times New Roman"/>
          <w:iCs/>
          <w:spacing w:val="-2"/>
          <w:sz w:val="24"/>
          <w:szCs w:val="24"/>
        </w:rPr>
        <w:t>19.02.2019, от 13.03.2019, от 12.04</w:t>
      </w:r>
      <w:r w:rsidR="00C40F6A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CA358E">
        <w:rPr>
          <w:rFonts w:ascii="Times New Roman" w:hAnsi="Times New Roman" w:cs="Times New Roman"/>
          <w:iCs/>
          <w:spacing w:val="-2"/>
          <w:sz w:val="24"/>
          <w:szCs w:val="24"/>
        </w:rPr>
        <w:t>2019</w:t>
      </w:r>
      <w:r w:rsidR="0055507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от </w:t>
      </w:r>
      <w:r w:rsid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06.05.2019, от 14.05.2019, </w:t>
      </w:r>
      <w:proofErr w:type="spellStart"/>
      <w:r w:rsidR="00CA358E">
        <w:rPr>
          <w:rFonts w:ascii="Times New Roman" w:hAnsi="Times New Roman" w:cs="Times New Roman"/>
          <w:iCs/>
          <w:spacing w:val="-2"/>
          <w:sz w:val="24"/>
          <w:szCs w:val="24"/>
        </w:rPr>
        <w:t>от</w:t>
      </w:r>
      <w:proofErr w:type="spellEnd"/>
      <w:r w:rsid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28.05.2019, от 09.07.2019</w:t>
      </w:r>
      <w:r w:rsidR="003B37BC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7C493C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CA358E">
        <w:rPr>
          <w:rFonts w:ascii="Times New Roman" w:hAnsi="Times New Roman" w:cs="Times New Roman"/>
          <w:iCs/>
          <w:spacing w:val="-2"/>
          <w:sz w:val="24"/>
          <w:szCs w:val="24"/>
        </w:rPr>
        <w:t>26.08.2019, от 25.09.2019, от 30.10.2019, от 10.12.2019</w:t>
      </w:r>
      <w:r w:rsidR="00C93A28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54673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5507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Э</w:t>
      </w:r>
      <w:r w:rsidR="00CA358E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кспертизой охвачено 8209,4</w:t>
      </w:r>
      <w:r w:rsidR="00AE249F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E249F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E249F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 </w:t>
      </w:r>
      <w:r w:rsidR="001317B2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экспертизы</w:t>
      </w:r>
      <w:r w:rsidR="007C493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450ABF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Совету поселения</w:t>
      </w:r>
      <w:r w:rsidR="00AE249F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C493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предложено </w:t>
      </w:r>
      <w:r w:rsidR="00CA358E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2 из 11</w:t>
      </w:r>
      <w:r w:rsidR="00B0475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проектов решений отклонить</w:t>
      </w:r>
      <w:r w:rsidR="0055507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55507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и </w:t>
      </w:r>
      <w:r w:rsidR="00B03F0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5759B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направить</w:t>
      </w:r>
      <w:proofErr w:type="gramEnd"/>
      <w:r w:rsidR="0035759B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доработку. </w:t>
      </w:r>
      <w:r w:rsidR="00E02592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В проектах решений в</w:t>
      </w:r>
      <w:r w:rsidR="0035759B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ыявлен</w:t>
      </w:r>
      <w:r w:rsidR="0055507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="00B03F0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A358E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10</w:t>
      </w:r>
      <w:r w:rsidR="00B0475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нарушение</w:t>
      </w:r>
      <w:r w:rsidR="0055507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бюджетног</w:t>
      </w:r>
      <w:r w:rsidR="00B0475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о законодательства и недостатков</w:t>
      </w:r>
      <w:r w:rsidR="0035759B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0C380B" w:rsidRDefault="000C380B" w:rsidP="00D423EE">
      <w:pPr>
        <w:spacing w:after="0"/>
        <w:ind w:left="142" w:firstLine="425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1276"/>
        <w:gridCol w:w="1275"/>
        <w:gridCol w:w="1524"/>
      </w:tblGrid>
      <w:tr w:rsidR="007A6326" w:rsidRPr="00F471A5" w:rsidTr="00120A0B">
        <w:tc>
          <w:tcPr>
            <w:tcW w:w="4928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  <w:r w:rsid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                </w:t>
            </w:r>
            <w:proofErr w:type="gramStart"/>
            <w:r w:rsid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   </w:t>
            </w:r>
            <w:r w:rsidR="00120A0B" w:rsidRP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(</w:t>
            </w:r>
            <w:proofErr w:type="gramEnd"/>
            <w:r w:rsidR="00120A0B" w:rsidRP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с учетом поселения </w:t>
            </w:r>
            <w:proofErr w:type="spellStart"/>
            <w:r w:rsidR="00120A0B" w:rsidRP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Саминское</w:t>
            </w:r>
            <w:proofErr w:type="spellEnd"/>
            <w:r w:rsidR="00120A0B" w:rsidRP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7A6326" w:rsidRPr="00F471A5" w:rsidTr="00120A0B">
        <w:tc>
          <w:tcPr>
            <w:tcW w:w="4928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134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7A6326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</w:t>
            </w:r>
          </w:p>
        </w:tc>
        <w:tc>
          <w:tcPr>
            <w:tcW w:w="1524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</w:t>
            </w:r>
          </w:p>
        </w:tc>
      </w:tr>
      <w:tr w:rsidR="007A6326" w:rsidRPr="00F471A5" w:rsidTr="00120A0B">
        <w:tc>
          <w:tcPr>
            <w:tcW w:w="4928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134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765,7</w:t>
            </w:r>
          </w:p>
        </w:tc>
        <w:tc>
          <w:tcPr>
            <w:tcW w:w="1276" w:type="dxa"/>
          </w:tcPr>
          <w:p w:rsidR="007A6326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1450,1</w:t>
            </w:r>
          </w:p>
        </w:tc>
        <w:tc>
          <w:tcPr>
            <w:tcW w:w="1275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8209,4</w:t>
            </w:r>
          </w:p>
        </w:tc>
        <w:tc>
          <w:tcPr>
            <w:tcW w:w="1524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+6759,3</w:t>
            </w:r>
          </w:p>
        </w:tc>
      </w:tr>
      <w:tr w:rsidR="007A6326" w:rsidRPr="00F471A5" w:rsidTr="00120A0B">
        <w:tc>
          <w:tcPr>
            <w:tcW w:w="4928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134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32</w:t>
            </w:r>
          </w:p>
        </w:tc>
        <w:tc>
          <w:tcPr>
            <w:tcW w:w="1275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</w:t>
            </w:r>
          </w:p>
        </w:tc>
        <w:tc>
          <w:tcPr>
            <w:tcW w:w="1524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-22</w:t>
            </w:r>
          </w:p>
        </w:tc>
      </w:tr>
      <w:tr w:rsidR="007A6326" w:rsidRPr="00F471A5" w:rsidTr="00120A0B">
        <w:tc>
          <w:tcPr>
            <w:tcW w:w="4928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134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-9</w:t>
            </w:r>
          </w:p>
        </w:tc>
      </w:tr>
      <w:tr w:rsidR="007A6326" w:rsidRPr="00F471A5" w:rsidTr="00120A0B">
        <w:tc>
          <w:tcPr>
            <w:tcW w:w="4928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134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7A6326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524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+8</w:t>
            </w:r>
          </w:p>
        </w:tc>
      </w:tr>
      <w:tr w:rsidR="007A6326" w:rsidRPr="00F471A5" w:rsidTr="00120A0B">
        <w:tc>
          <w:tcPr>
            <w:tcW w:w="4928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134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A6326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7A6326" w:rsidRPr="00F471A5" w:rsidRDefault="00CA358E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-5</w:t>
            </w:r>
          </w:p>
        </w:tc>
      </w:tr>
    </w:tbl>
    <w:p w:rsidR="007A6326" w:rsidRDefault="007A6326" w:rsidP="00D423EE">
      <w:pPr>
        <w:spacing w:after="0"/>
        <w:ind w:left="142" w:firstLine="425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A358E" w:rsidRPr="004F6404" w:rsidRDefault="00764425" w:rsidP="004F640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Проведена экспертиза </w:t>
      </w:r>
      <w:r w:rsidR="00B04753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2</w:t>
      </w:r>
      <w:r w:rsidR="00842236">
        <w:rPr>
          <w:rFonts w:ascii="Times New Roman" w:hAnsi="Times New Roman" w:cs="Times New Roman"/>
          <w:iCs/>
          <w:spacing w:val="-2"/>
          <w:sz w:val="24"/>
          <w:szCs w:val="24"/>
        </w:rPr>
        <w:t>1</w:t>
      </w:r>
      <w:r w:rsidR="00FB1B5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842236">
        <w:rPr>
          <w:rFonts w:ascii="Times New Roman" w:hAnsi="Times New Roman" w:cs="Times New Roman"/>
          <w:iCs/>
          <w:spacing w:val="-2"/>
          <w:sz w:val="24"/>
          <w:szCs w:val="24"/>
        </w:rPr>
        <w:t>проекта</w:t>
      </w:r>
      <w:r w:rsidR="00F85899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нормативно-правовых актов</w:t>
      </w:r>
      <w:r w:rsidR="00FB1B55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(далее - НПА)</w:t>
      </w:r>
      <w:r w:rsidR="00B03F09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C97827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84223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</w:t>
      </w:r>
      <w:r w:rsidR="00C97827" w:rsidRPr="00CA358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аключения </w:t>
      </w:r>
      <w:r w:rsidR="00842236">
        <w:rPr>
          <w:rFonts w:ascii="Times New Roman" w:hAnsi="Times New Roman" w:cs="Times New Roman"/>
          <w:iCs/>
          <w:spacing w:val="-2"/>
          <w:sz w:val="24"/>
          <w:szCs w:val="24"/>
        </w:rPr>
        <w:t>от 21.02.2019, от 27.02.2019. от 14.03.2019, от 24.09.2019, от 29.10.2019 (4 заключения), от 30</w:t>
      </w:r>
      <w:r w:rsidR="00191A59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842236">
        <w:rPr>
          <w:rFonts w:ascii="Times New Roman" w:hAnsi="Times New Roman" w:cs="Times New Roman"/>
          <w:iCs/>
          <w:spacing w:val="-2"/>
          <w:sz w:val="24"/>
          <w:szCs w:val="24"/>
        </w:rPr>
        <w:t>10</w:t>
      </w:r>
      <w:r w:rsidR="00E02592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191A59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201</w:t>
      </w:r>
      <w:r w:rsidR="0084223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9 </w:t>
      </w:r>
      <w:proofErr w:type="gramStart"/>
      <w:r w:rsidR="00842236">
        <w:rPr>
          <w:rFonts w:ascii="Times New Roman" w:hAnsi="Times New Roman" w:cs="Times New Roman"/>
          <w:iCs/>
          <w:spacing w:val="-2"/>
          <w:sz w:val="24"/>
          <w:szCs w:val="24"/>
        </w:rPr>
        <w:t>( 2</w:t>
      </w:r>
      <w:proofErr w:type="gramEnd"/>
      <w:r w:rsidR="0084223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заключения), от 04.12.2019, от 06.12.2019  (4 заключения),  от 09.12.2019,  от 11.12.2019  (2 заключения),   от 17.12.2019  (2 заключения),   от 20.12.2019</w:t>
      </w:r>
      <w:r w:rsidR="00C97827" w:rsidRPr="00CA358E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B1B55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При п</w:t>
      </w:r>
      <w:r w:rsidR="000E471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роведении экспертизы </w:t>
      </w:r>
      <w:r w:rsidR="00236AD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проектов выявлено 16 недостатков</w:t>
      </w:r>
      <w:r w:rsidR="00191A5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, предложенных к устранению</w:t>
      </w:r>
      <w:r w:rsidR="004A20E7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1266B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 </w:t>
      </w:r>
      <w:r w:rsidR="001266BD" w:rsidRPr="004F6404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>принятию рекомендован</w:t>
      </w:r>
      <w:r w:rsidR="00236AD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="000E471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</w:t>
      </w:r>
      <w:r w:rsidR="00236AD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4</w:t>
      </w:r>
      <w:r w:rsidR="000E471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проект</w:t>
      </w:r>
      <w:r w:rsidR="00236AD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а НПА, 7</w:t>
      </w:r>
      <w:r w:rsidR="0035759B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91A5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про</w:t>
      </w:r>
      <w:r w:rsidR="0035759B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ект</w:t>
      </w:r>
      <w:r w:rsidR="00236AD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ов</w:t>
      </w:r>
      <w:r w:rsidR="00E02592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0E471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рекомендован</w:t>
      </w:r>
      <w:r w:rsidR="00236ADC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="004A20E7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направить на устранение замечаний.</w:t>
      </w:r>
    </w:p>
    <w:p w:rsidR="00CA358E" w:rsidRPr="000E4719" w:rsidRDefault="00CA358E" w:rsidP="00CA358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39"/>
        <w:gridCol w:w="1413"/>
        <w:gridCol w:w="1339"/>
        <w:gridCol w:w="1268"/>
        <w:gridCol w:w="1378"/>
      </w:tblGrid>
      <w:tr w:rsidR="007A6326" w:rsidRPr="00F471A5" w:rsidTr="00E34D00">
        <w:trPr>
          <w:jc w:val="center"/>
        </w:trPr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2017 </w:t>
            </w:r>
            <w:proofErr w:type="gramStart"/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год</w:t>
            </w:r>
            <w:r w:rsid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(</w:t>
            </w:r>
            <w:proofErr w:type="gramEnd"/>
            <w:r w:rsid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 xml:space="preserve">с учетом поселения </w:t>
            </w:r>
            <w:proofErr w:type="spellStart"/>
            <w:r w:rsid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Саминское</w:t>
            </w:r>
            <w:proofErr w:type="spellEnd"/>
            <w:r w:rsidR="00120A0B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382" w:type="dxa"/>
          </w:tcPr>
          <w:p w:rsidR="007A6326" w:rsidRPr="00F471A5" w:rsidRDefault="007A6326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7A6326" w:rsidRPr="00F471A5" w:rsidTr="00E34D00">
        <w:trPr>
          <w:jc w:val="center"/>
        </w:trPr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418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A6326" w:rsidRPr="00F471A5" w:rsidRDefault="00236ADC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21</w:t>
            </w:r>
          </w:p>
        </w:tc>
        <w:tc>
          <w:tcPr>
            <w:tcW w:w="1382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+19</w:t>
            </w:r>
          </w:p>
        </w:tc>
      </w:tr>
      <w:tr w:rsidR="007A6326" w:rsidRPr="00F471A5" w:rsidTr="00E34D00">
        <w:trPr>
          <w:jc w:val="center"/>
        </w:trPr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418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12026,2</w:t>
            </w:r>
          </w:p>
        </w:tc>
        <w:tc>
          <w:tcPr>
            <w:tcW w:w="1275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7A6326" w:rsidRPr="00F471A5" w:rsidRDefault="00236ADC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2353,8</w:t>
            </w:r>
          </w:p>
        </w:tc>
        <w:tc>
          <w:tcPr>
            <w:tcW w:w="1382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+2353,8</w:t>
            </w:r>
          </w:p>
        </w:tc>
      </w:tr>
      <w:tr w:rsidR="007A6326" w:rsidRPr="00F471A5" w:rsidTr="00E34D00">
        <w:trPr>
          <w:jc w:val="center"/>
        </w:trPr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418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7A6326" w:rsidRPr="00F471A5" w:rsidRDefault="00236ADC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382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7A6326" w:rsidRPr="00F471A5" w:rsidTr="00E34D00">
        <w:trPr>
          <w:jc w:val="center"/>
        </w:trPr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418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21</w:t>
            </w:r>
          </w:p>
        </w:tc>
        <w:tc>
          <w:tcPr>
            <w:tcW w:w="1275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A6326" w:rsidRPr="00F471A5" w:rsidRDefault="00236ADC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</w:t>
            </w:r>
          </w:p>
        </w:tc>
        <w:tc>
          <w:tcPr>
            <w:tcW w:w="1382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+11</w:t>
            </w:r>
          </w:p>
        </w:tc>
      </w:tr>
      <w:tr w:rsidR="007A6326" w:rsidRPr="00F471A5" w:rsidTr="00E34D00">
        <w:trPr>
          <w:jc w:val="center"/>
        </w:trPr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 кол-во / % от общего кол-ва</w:t>
            </w:r>
          </w:p>
        </w:tc>
        <w:tc>
          <w:tcPr>
            <w:tcW w:w="1418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 / 22,2%</w:t>
            </w:r>
          </w:p>
        </w:tc>
        <w:tc>
          <w:tcPr>
            <w:tcW w:w="1275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50%</w:t>
            </w:r>
          </w:p>
        </w:tc>
        <w:tc>
          <w:tcPr>
            <w:tcW w:w="1276" w:type="dxa"/>
          </w:tcPr>
          <w:p w:rsidR="007A6326" w:rsidRPr="00F471A5" w:rsidRDefault="00236ADC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 / 66,7 %</w:t>
            </w:r>
          </w:p>
        </w:tc>
        <w:tc>
          <w:tcPr>
            <w:tcW w:w="1382" w:type="dxa"/>
          </w:tcPr>
          <w:p w:rsidR="007A6326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+16,7 </w:t>
            </w:r>
            <w:proofErr w:type="spellStart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  <w:tr w:rsidR="007A6326" w:rsidRPr="00F471A5" w:rsidTr="00E34D00">
        <w:trPr>
          <w:jc w:val="center"/>
        </w:trPr>
        <w:tc>
          <w:tcPr>
            <w:tcW w:w="4786" w:type="dxa"/>
          </w:tcPr>
          <w:p w:rsidR="007A6326" w:rsidRPr="00F471A5" w:rsidRDefault="007A6326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 кол-во / % от общего кол-ва</w:t>
            </w:r>
          </w:p>
        </w:tc>
        <w:tc>
          <w:tcPr>
            <w:tcW w:w="1418" w:type="dxa"/>
          </w:tcPr>
          <w:p w:rsidR="007A6326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 / 77,8 5</w:t>
            </w:r>
          </w:p>
        </w:tc>
        <w:tc>
          <w:tcPr>
            <w:tcW w:w="1275" w:type="dxa"/>
          </w:tcPr>
          <w:p w:rsidR="007A6326" w:rsidRPr="00E34D00" w:rsidRDefault="00E34D00" w:rsidP="00E34D00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E34D0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/ 50%</w:t>
            </w:r>
          </w:p>
        </w:tc>
        <w:tc>
          <w:tcPr>
            <w:tcW w:w="1276" w:type="dxa"/>
            <w:vAlign w:val="center"/>
          </w:tcPr>
          <w:p w:rsidR="007A6326" w:rsidRPr="00E34D00" w:rsidRDefault="00E34D00" w:rsidP="00E34D00">
            <w:pP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     7</w:t>
            </w:r>
            <w:r w:rsidR="00236ADC" w:rsidRPr="00E34D0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/ 33,3 %</w:t>
            </w:r>
          </w:p>
        </w:tc>
        <w:tc>
          <w:tcPr>
            <w:tcW w:w="1382" w:type="dxa"/>
          </w:tcPr>
          <w:p w:rsidR="007A6326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-16,7 </w:t>
            </w:r>
            <w:proofErr w:type="spellStart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</w:p>
        </w:tc>
      </w:tr>
    </w:tbl>
    <w:p w:rsidR="007A6326" w:rsidRPr="001920A8" w:rsidRDefault="007A6326" w:rsidP="00236ADC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BB5AB3" w:rsidRPr="004F6404" w:rsidRDefault="00A257F1" w:rsidP="004F640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36ADC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Подготовлены за</w:t>
      </w:r>
      <w:r w:rsidR="00236ADC">
        <w:rPr>
          <w:rFonts w:ascii="Times New Roman" w:hAnsi="Times New Roman" w:cs="Times New Roman"/>
          <w:iCs/>
          <w:spacing w:val="-2"/>
          <w:sz w:val="24"/>
          <w:szCs w:val="24"/>
        </w:rPr>
        <w:t>ключения от 20.11.2019 г., от 29.11.2019</w:t>
      </w:r>
      <w:r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BB5AB3"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про</w:t>
      </w:r>
      <w:r w:rsidR="00A10940" w:rsidRPr="00236ADC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E02592"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E02592" w:rsidRPr="00236ADC">
        <w:rPr>
          <w:rFonts w:ascii="Times New Roman" w:hAnsi="Times New Roman" w:cs="Times New Roman"/>
          <w:iCs/>
          <w:spacing w:val="-2"/>
          <w:sz w:val="24"/>
          <w:szCs w:val="24"/>
        </w:rPr>
        <w:t>Андомское</w:t>
      </w:r>
      <w:proofErr w:type="spellEnd"/>
      <w:r w:rsidR="00BB5AB3"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 </w:t>
      </w:r>
      <w:proofErr w:type="gramStart"/>
      <w:r w:rsidR="00BB5AB3" w:rsidRPr="00236ADC">
        <w:rPr>
          <w:rFonts w:ascii="Times New Roman" w:hAnsi="Times New Roman" w:cs="Times New Roman"/>
          <w:iCs/>
          <w:spacing w:val="-2"/>
          <w:sz w:val="24"/>
          <w:szCs w:val="24"/>
        </w:rPr>
        <w:t>бюд</w:t>
      </w:r>
      <w:r w:rsidR="00A10940"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жете </w:t>
      </w:r>
      <w:r w:rsid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</w:t>
      </w:r>
      <w:proofErr w:type="gramEnd"/>
      <w:r w:rsid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2020</w:t>
      </w:r>
      <w:r w:rsidR="00702C3C"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год и плановы</w:t>
      </w:r>
      <w:r w:rsidR="000E4719" w:rsidRPr="00236ADC">
        <w:rPr>
          <w:rFonts w:ascii="Times New Roman" w:hAnsi="Times New Roman" w:cs="Times New Roman"/>
          <w:iCs/>
          <w:spacing w:val="-2"/>
          <w:sz w:val="24"/>
          <w:szCs w:val="24"/>
        </w:rPr>
        <w:t>й</w:t>
      </w:r>
      <w:r w:rsid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период 2021 и 2022</w:t>
      </w:r>
      <w:r w:rsidR="000E4719"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годов  - 2</w:t>
      </w:r>
      <w:r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заключения.</w:t>
      </w:r>
      <w:r w:rsidR="00BB5AB3" w:rsidRPr="00236A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BB5AB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ыявлено 3</w:t>
      </w:r>
      <w:r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нар</w:t>
      </w:r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ушения и недостатка</w:t>
      </w:r>
      <w:r w:rsidR="00A10940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материалах, представленных на экспертизу, по которым направлены предложения по устранению</w:t>
      </w:r>
      <w:r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Охват бюджетных средств экспертизой </w:t>
      </w:r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составил 34046,4</w:t>
      </w:r>
      <w:r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Ревизионной комиссией были даны рекомендации о возврате в Администрацию пакета документов и материалов к бюджету на плановый </w:t>
      </w:r>
      <w:r w:rsidR="00A10940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период для устранения нарушений и недостатков.</w:t>
      </w:r>
    </w:p>
    <w:p w:rsidR="00236ADC" w:rsidRPr="00F85899" w:rsidRDefault="00236ADC" w:rsidP="00236A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123"/>
        <w:gridCol w:w="1818"/>
      </w:tblGrid>
      <w:tr w:rsidR="00DE5C7B" w:rsidRPr="00F471A5" w:rsidTr="009A657D">
        <w:tc>
          <w:tcPr>
            <w:tcW w:w="4644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DE5C7B" w:rsidRPr="00F471A5" w:rsidRDefault="00DE5C7B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DE5C7B" w:rsidRPr="00F471A5" w:rsidRDefault="00DE5C7B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DE5C7B" w:rsidRPr="00F471A5" w:rsidRDefault="00DE5C7B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DE5C7B" w:rsidRPr="00F471A5" w:rsidRDefault="00DE5C7B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DE5C7B" w:rsidRPr="00F471A5" w:rsidTr="009A657D">
        <w:tc>
          <w:tcPr>
            <w:tcW w:w="4644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DE5C7B" w:rsidRPr="00F471A5" w:rsidRDefault="00120A0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DE5C7B" w:rsidRPr="00F471A5" w:rsidTr="009A657D">
        <w:tc>
          <w:tcPr>
            <w:tcW w:w="4644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29582,0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29512,3</w:t>
            </w:r>
          </w:p>
        </w:tc>
        <w:tc>
          <w:tcPr>
            <w:tcW w:w="1123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34046,4</w:t>
            </w:r>
          </w:p>
        </w:tc>
        <w:tc>
          <w:tcPr>
            <w:tcW w:w="1818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+4534,1</w:t>
            </w:r>
          </w:p>
        </w:tc>
      </w:tr>
      <w:tr w:rsidR="00DE5C7B" w:rsidRPr="00F471A5" w:rsidTr="009A657D">
        <w:tc>
          <w:tcPr>
            <w:tcW w:w="4644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</w:t>
            </w:r>
          </w:p>
        </w:tc>
        <w:tc>
          <w:tcPr>
            <w:tcW w:w="1123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-10</w:t>
            </w:r>
          </w:p>
        </w:tc>
      </w:tr>
      <w:tr w:rsidR="00DE5C7B" w:rsidRPr="00F471A5" w:rsidTr="009A657D">
        <w:tc>
          <w:tcPr>
            <w:tcW w:w="4644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123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-6</w:t>
            </w:r>
          </w:p>
        </w:tc>
      </w:tr>
      <w:tr w:rsidR="00DE5C7B" w:rsidRPr="00F471A5" w:rsidTr="009A657D">
        <w:tc>
          <w:tcPr>
            <w:tcW w:w="4644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DE5C7B" w:rsidRPr="00F471A5" w:rsidTr="009A657D">
        <w:tc>
          <w:tcPr>
            <w:tcW w:w="4644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7A6326" w:rsidRPr="00875EE9" w:rsidRDefault="007A6326" w:rsidP="009E12A3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A54016" w:rsidRPr="004F6404" w:rsidRDefault="00A10940" w:rsidP="004F640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9E12A3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Подготовлено</w:t>
      </w:r>
      <w:r w:rsidR="003F56BD" w:rsidRPr="009E12A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E12A3">
        <w:rPr>
          <w:rFonts w:ascii="Times New Roman" w:hAnsi="Times New Roman" w:cs="Times New Roman"/>
          <w:iCs/>
          <w:spacing w:val="-2"/>
          <w:sz w:val="24"/>
          <w:szCs w:val="24"/>
        </w:rPr>
        <w:t>заключение от 28.04.2019</w:t>
      </w:r>
      <w:r w:rsidRPr="009E12A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 </w:t>
      </w:r>
      <w:r w:rsidR="00E14923" w:rsidRPr="009E12A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F56BD" w:rsidRPr="009E12A3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внешней проверки годовой бюджетной отчетности Главных распорядителей бюджетных средств (Админ</w:t>
      </w:r>
      <w:r w:rsidRPr="009E12A3">
        <w:rPr>
          <w:rFonts w:ascii="Times New Roman" w:hAnsi="Times New Roman" w:cs="Times New Roman"/>
          <w:iCs/>
          <w:spacing w:val="-2"/>
          <w:sz w:val="24"/>
          <w:szCs w:val="24"/>
        </w:rPr>
        <w:t>истрация поселения</w:t>
      </w:r>
      <w:r w:rsidR="003F56BD" w:rsidRPr="009E12A3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A54016" w:rsidRPr="009E12A3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0E471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хват средств бюджета – 13205,0</w:t>
      </w:r>
      <w:r w:rsidR="00E02592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E02592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E02592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Выявлено 14</w:t>
      </w:r>
      <w:r w:rsidR="000E471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нарушений в сфере бухгалтерского учета и отчетности </w:t>
      </w:r>
      <w:r w:rsidR="00722DF7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в представленных материалах годового отчета</w:t>
      </w:r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1 факт расходования </w:t>
      </w:r>
      <w:proofErr w:type="gramStart"/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средств</w:t>
      </w:r>
      <w:proofErr w:type="gramEnd"/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не отвечающих принципу эффективности бюджетных расходов на сумму 27,5 </w:t>
      </w:r>
      <w:proofErr w:type="spellStart"/>
      <w:r w:rsidR="009E12A3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B03F09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722DF7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54016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Ревизионная комиссия ВМР рекомендовала </w:t>
      </w:r>
      <w:r w:rsidR="000821BD" w:rsidRPr="004F6404">
        <w:rPr>
          <w:rFonts w:ascii="Times New Roman" w:hAnsi="Times New Roman" w:cs="Times New Roman"/>
          <w:iCs/>
          <w:spacing w:val="-2"/>
          <w:sz w:val="24"/>
          <w:szCs w:val="24"/>
        </w:rPr>
        <w:t>устранить в отчетности замечания, отмеченные</w:t>
      </w:r>
      <w:r w:rsidR="00722DF7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Заключении.</w:t>
      </w:r>
      <w:r w:rsidR="00A54016" w:rsidRP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9E12A3" w:rsidRDefault="009E12A3" w:rsidP="009E12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1276"/>
        <w:gridCol w:w="1275"/>
        <w:gridCol w:w="1524"/>
      </w:tblGrid>
      <w:tr w:rsidR="00DE5C7B" w:rsidRPr="00F471A5" w:rsidTr="009A657D">
        <w:tc>
          <w:tcPr>
            <w:tcW w:w="4786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DE5C7B" w:rsidRPr="00F471A5" w:rsidRDefault="00DE5C7B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DE5C7B" w:rsidRPr="00F471A5" w:rsidRDefault="00DE5C7B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DE5C7B" w:rsidRPr="00F471A5" w:rsidRDefault="00DE5C7B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DE5C7B" w:rsidRPr="00F471A5" w:rsidRDefault="00DE5C7B" w:rsidP="009A657D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DE5C7B" w:rsidRPr="00F471A5" w:rsidTr="009A657D">
        <w:tc>
          <w:tcPr>
            <w:tcW w:w="4786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DE5C7B" w:rsidRPr="00F471A5" w:rsidTr="009A657D">
        <w:tc>
          <w:tcPr>
            <w:tcW w:w="4786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9287,0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10723,5</w:t>
            </w:r>
          </w:p>
        </w:tc>
        <w:tc>
          <w:tcPr>
            <w:tcW w:w="1275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13205,0</w:t>
            </w:r>
          </w:p>
        </w:tc>
        <w:tc>
          <w:tcPr>
            <w:tcW w:w="1524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+2481,5</w:t>
            </w:r>
          </w:p>
        </w:tc>
      </w:tr>
      <w:tr w:rsidR="00DE5C7B" w:rsidRPr="00F471A5" w:rsidTr="009A657D">
        <w:tc>
          <w:tcPr>
            <w:tcW w:w="4786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20 / 762,1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32 / 0</w:t>
            </w:r>
          </w:p>
        </w:tc>
        <w:tc>
          <w:tcPr>
            <w:tcW w:w="1275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 / 0</w:t>
            </w:r>
          </w:p>
        </w:tc>
        <w:tc>
          <w:tcPr>
            <w:tcW w:w="1524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-18</w:t>
            </w:r>
          </w:p>
        </w:tc>
      </w:tr>
      <w:tr w:rsidR="00DE5C7B" w:rsidRPr="00F471A5" w:rsidTr="009A657D">
        <w:tc>
          <w:tcPr>
            <w:tcW w:w="4786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DE5C7B" w:rsidRPr="00F471A5" w:rsidTr="009A657D">
        <w:tc>
          <w:tcPr>
            <w:tcW w:w="4786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DE5C7B" w:rsidRPr="00F471A5" w:rsidTr="009A657D">
        <w:tc>
          <w:tcPr>
            <w:tcW w:w="4786" w:type="dxa"/>
          </w:tcPr>
          <w:p w:rsidR="00DE5C7B" w:rsidRPr="00F471A5" w:rsidRDefault="00DE5C7B" w:rsidP="009A657D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направить на устранение замечаний</w:t>
            </w:r>
          </w:p>
        </w:tc>
        <w:tc>
          <w:tcPr>
            <w:tcW w:w="1276" w:type="dxa"/>
          </w:tcPr>
          <w:p w:rsidR="00DE5C7B" w:rsidRPr="00F471A5" w:rsidRDefault="00F47DAB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E5C7B" w:rsidRPr="00F471A5" w:rsidRDefault="00E34D00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E5C7B" w:rsidRPr="00F471A5" w:rsidRDefault="009E12A3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DE5C7B" w:rsidRPr="00F471A5" w:rsidRDefault="004F6404" w:rsidP="009A657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</w:tbl>
    <w:p w:rsidR="00DE5C7B" w:rsidRPr="00F85899" w:rsidRDefault="00DE5C7B" w:rsidP="009E12A3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12510B" w:rsidRPr="004F6404" w:rsidRDefault="0012510B" w:rsidP="004F6404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F6404">
        <w:rPr>
          <w:rFonts w:ascii="Times New Roman" w:hAnsi="Times New Roman" w:cs="Times New Roman"/>
          <w:iCs/>
          <w:spacing w:val="-2"/>
          <w:sz w:val="24"/>
          <w:szCs w:val="24"/>
        </w:rPr>
        <w:tab/>
      </w:r>
    </w:p>
    <w:p w:rsidR="00C43C40" w:rsidRPr="00471039" w:rsidRDefault="00E0619E" w:rsidP="00D423E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бюджет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ного райо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>на из бюджета</w:t>
      </w:r>
      <w:r w:rsidR="000821B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proofErr w:type="gramStart"/>
      <w:r w:rsidR="000821BD">
        <w:rPr>
          <w:rFonts w:ascii="Times New Roman" w:hAnsi="Times New Roman" w:cs="Times New Roman"/>
          <w:iCs/>
          <w:spacing w:val="-2"/>
          <w:sz w:val="24"/>
          <w:szCs w:val="24"/>
        </w:rPr>
        <w:t>Андомское</w:t>
      </w:r>
      <w:proofErr w:type="spellEnd"/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поступили</w:t>
      </w:r>
      <w:proofErr w:type="gram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межбюджетные трансферт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ы в сумме</w:t>
      </w:r>
      <w:r w:rsidR="004F640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57,2</w:t>
      </w:r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39317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 Средства направлены на оплату труда работников Ревизионной комиссии ВМР.</w:t>
      </w:r>
    </w:p>
    <w:p w:rsidR="000E4719" w:rsidRPr="001920A8" w:rsidRDefault="000E471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471039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Глава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                       ___________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             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А.В.Зимин</w:t>
      </w:r>
      <w:proofErr w:type="spellEnd"/>
    </w:p>
    <w:p w:rsidR="000E4719" w:rsidRDefault="000E471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</w:p>
    <w:p w:rsidR="000E4719" w:rsidRDefault="000E471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</w:p>
    <w:p w:rsidR="000E4719" w:rsidRDefault="000E471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</w:p>
    <w:p w:rsidR="00C43C40" w:rsidRPr="001920A8" w:rsidRDefault="00CA5EC2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Исполнитель</w:t>
      </w:r>
    </w:p>
    <w:p w:rsidR="00C43C40" w:rsidRPr="001920A8" w:rsidRDefault="00C43C40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Председатель Ревизионной комиссии    </w:t>
      </w:r>
      <w:r w:rsidR="00CA5EC2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ВМР      </w:t>
      </w: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___________</w:t>
      </w:r>
      <w:r w:rsidR="00875EE9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Н.В Зелинская</w:t>
      </w:r>
    </w:p>
    <w:p w:rsidR="00F85899" w:rsidRPr="00B02450" w:rsidRDefault="004F6404" w:rsidP="00B024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28.02.2020</w:t>
      </w:r>
      <w:r w:rsidR="00C40F6A" w:rsidRPr="001920A8">
        <w:rPr>
          <w:rFonts w:ascii="Times New Roman" w:hAnsi="Times New Roman" w:cs="Times New Roman"/>
          <w:sz w:val="20"/>
          <w:szCs w:val="20"/>
        </w:rPr>
        <w:t xml:space="preserve"> г</w:t>
      </w:r>
      <w:r w:rsidR="00B02450">
        <w:rPr>
          <w:rFonts w:ascii="Times New Roman" w:hAnsi="Times New Roman" w:cs="Times New Roman"/>
          <w:sz w:val="20"/>
          <w:szCs w:val="20"/>
        </w:rPr>
        <w:t>.</w:t>
      </w:r>
    </w:p>
    <w:p w:rsidR="000E4719" w:rsidRDefault="000E4719" w:rsidP="004F6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719" w:rsidRDefault="000E471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719" w:rsidRDefault="000E471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719" w:rsidRDefault="000E471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>Отчет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875EE9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75E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7C98" w:rsidRPr="00875EE9" w:rsidRDefault="002F7C98" w:rsidP="000821BD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о расходовании межбюджетных трансфертов, предоставленных на выполнении переданных </w:t>
      </w:r>
      <w:proofErr w:type="gramStart"/>
      <w:r w:rsidRPr="00875EE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контрольно</w:t>
      </w:r>
      <w:proofErr w:type="gramEnd"/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- сче</w:t>
      </w:r>
      <w:r w:rsidR="00F85899">
        <w:rPr>
          <w:rFonts w:ascii="Times New Roman" w:hAnsi="Times New Roman" w:cs="Times New Roman"/>
          <w:color w:val="000000"/>
          <w:spacing w:val="3"/>
          <w:sz w:val="28"/>
          <w:szCs w:val="28"/>
        </w:rPr>
        <w:t>тного органа Совета</w:t>
      </w:r>
      <w:r w:rsidR="000821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0821BD">
        <w:rPr>
          <w:rFonts w:ascii="Times New Roman" w:hAnsi="Times New Roman" w:cs="Times New Roman"/>
          <w:color w:val="000000"/>
          <w:spacing w:val="3"/>
          <w:sz w:val="28"/>
          <w:szCs w:val="28"/>
        </w:rPr>
        <w:t>Андомское</w:t>
      </w:r>
      <w:proofErr w:type="spellEnd"/>
      <w:r w:rsidRPr="00875EE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осуществлению внешнего муниципального финансового контроля</w:t>
      </w:r>
      <w:r w:rsidR="000821BD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4F640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  период  с 01.01.2019</w:t>
      </w:r>
      <w:r w:rsidR="002519A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по 31.12.2</w:t>
      </w:r>
      <w:r w:rsidR="004F640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019</w:t>
      </w:r>
      <w:r w:rsidRPr="00875EE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года</w:t>
      </w:r>
    </w:p>
    <w:p w:rsidR="002F7C98" w:rsidRPr="00C43C40" w:rsidRDefault="002F7C98" w:rsidP="002F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C98" w:rsidRPr="00C43C40" w:rsidRDefault="002F7C98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3C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3C4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1134"/>
        <w:gridCol w:w="992"/>
        <w:gridCol w:w="1276"/>
      </w:tblGrid>
      <w:tr w:rsidR="002F7C98" w:rsidRPr="00C43C40" w:rsidTr="00072F7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Наименование субвенции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Соглашения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Полученные средства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Израсходованные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Default="00ED009F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за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 xml:space="preserve"> Советом МО</w:t>
            </w: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rPr>
          <w:trHeight w:val="88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E9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выполнение передаваемых </w:t>
            </w:r>
            <w:proofErr w:type="gramStart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полномочий  по</w:t>
            </w:r>
            <w:proofErr w:type="gramEnd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4F6404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4F6404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4F6404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-оплата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4F6404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4F6404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4F6404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7C98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Pr="00C43C40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 xml:space="preserve">ного района                </w:t>
      </w:r>
      <w:r w:rsidR="002F7C98">
        <w:rPr>
          <w:sz w:val="26"/>
          <w:szCs w:val="26"/>
        </w:rPr>
        <w:t xml:space="preserve"> _____________         </w:t>
      </w:r>
      <w:proofErr w:type="spellStart"/>
      <w:r w:rsidR="002F7C98">
        <w:rPr>
          <w:sz w:val="26"/>
          <w:szCs w:val="26"/>
        </w:rPr>
        <w:t>А.В.Зимин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875EE9" w:rsidRDefault="00875EE9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</w:t>
      </w: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  </w:t>
      </w:r>
      <w:r w:rsidR="002F7C98">
        <w:rPr>
          <w:sz w:val="26"/>
          <w:szCs w:val="26"/>
        </w:rPr>
        <w:t xml:space="preserve">____________    </w:t>
      </w:r>
      <w:r>
        <w:rPr>
          <w:sz w:val="26"/>
          <w:szCs w:val="26"/>
        </w:rPr>
        <w:t xml:space="preserve">   </w:t>
      </w:r>
      <w:r w:rsidR="002F7C98">
        <w:rPr>
          <w:sz w:val="26"/>
          <w:szCs w:val="26"/>
        </w:rPr>
        <w:t xml:space="preserve">   </w:t>
      </w:r>
      <w:proofErr w:type="spellStart"/>
      <w:r w:rsidR="002F7C98">
        <w:rPr>
          <w:sz w:val="26"/>
          <w:szCs w:val="26"/>
        </w:rPr>
        <w:t>С.Е.Заика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Pr="004F6404" w:rsidRDefault="002F7C98" w:rsidP="002F7C98">
      <w:pPr>
        <w:pStyle w:val="a3"/>
        <w:ind w:firstLine="0"/>
        <w:rPr>
          <w:sz w:val="16"/>
          <w:szCs w:val="16"/>
          <w:u w:val="single"/>
        </w:rPr>
      </w:pPr>
      <w:r w:rsidRPr="004F6404">
        <w:rPr>
          <w:sz w:val="16"/>
          <w:szCs w:val="16"/>
        </w:rPr>
        <w:t>Исп</w:t>
      </w:r>
      <w:r w:rsidRPr="004F6404">
        <w:rPr>
          <w:sz w:val="16"/>
          <w:szCs w:val="16"/>
          <w:u w:val="single"/>
        </w:rPr>
        <w:t xml:space="preserve">.   </w:t>
      </w:r>
      <w:proofErr w:type="spellStart"/>
      <w:r w:rsidRPr="004F6404">
        <w:rPr>
          <w:sz w:val="16"/>
          <w:szCs w:val="16"/>
          <w:u w:val="single"/>
        </w:rPr>
        <w:t>Н.В.Зелинская</w:t>
      </w:r>
      <w:proofErr w:type="spellEnd"/>
    </w:p>
    <w:p w:rsidR="002F7C98" w:rsidRPr="004F6404" w:rsidRDefault="002F7C98" w:rsidP="002F7C98">
      <w:pPr>
        <w:pStyle w:val="a3"/>
        <w:ind w:firstLine="0"/>
        <w:rPr>
          <w:sz w:val="16"/>
          <w:szCs w:val="16"/>
        </w:rPr>
      </w:pPr>
      <w:r w:rsidRPr="004F6404">
        <w:rPr>
          <w:sz w:val="16"/>
          <w:szCs w:val="16"/>
          <w:u w:val="single"/>
        </w:rPr>
        <w:t>881746 2-22-03</w:t>
      </w:r>
      <w:bookmarkStart w:id="0" w:name="_GoBack"/>
      <w:bookmarkEnd w:id="0"/>
    </w:p>
    <w:p w:rsidR="002F7C98" w:rsidRPr="004F6404" w:rsidRDefault="002F7C98" w:rsidP="002F7C98">
      <w:pPr>
        <w:pStyle w:val="a3"/>
        <w:ind w:firstLine="0"/>
        <w:rPr>
          <w:sz w:val="16"/>
          <w:szCs w:val="16"/>
        </w:rPr>
      </w:pPr>
    </w:p>
    <w:p w:rsidR="002F7C98" w:rsidRPr="004F6404" w:rsidRDefault="004F6404" w:rsidP="002F7C98">
      <w:pPr>
        <w:pStyle w:val="a3"/>
        <w:ind w:firstLine="0"/>
        <w:rPr>
          <w:sz w:val="16"/>
          <w:szCs w:val="16"/>
        </w:rPr>
      </w:pPr>
      <w:r w:rsidRPr="004F6404">
        <w:rPr>
          <w:sz w:val="16"/>
          <w:szCs w:val="16"/>
        </w:rPr>
        <w:t>28.02.2020</w:t>
      </w:r>
      <w:r w:rsidR="002F7C98" w:rsidRPr="004F6404">
        <w:rPr>
          <w:sz w:val="16"/>
          <w:szCs w:val="16"/>
        </w:rPr>
        <w:t xml:space="preserve"> г.</w:t>
      </w:r>
    </w:p>
    <w:p w:rsidR="00DB4850" w:rsidRDefault="00DB485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Pr="00C43C40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7B2" w:rsidRPr="00C43C40" w:rsidSect="00C40F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A3240"/>
    <w:multiLevelType w:val="hybridMultilevel"/>
    <w:tmpl w:val="F08A641C"/>
    <w:lvl w:ilvl="0" w:tplc="5D169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535B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5061D9"/>
    <w:multiLevelType w:val="multilevel"/>
    <w:tmpl w:val="402E9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">
    <w:nsid w:val="630B68B5"/>
    <w:multiLevelType w:val="hybridMultilevel"/>
    <w:tmpl w:val="2B6ADEEE"/>
    <w:lvl w:ilvl="0" w:tplc="2558F652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77A0E0D"/>
    <w:multiLevelType w:val="hybridMultilevel"/>
    <w:tmpl w:val="F432A380"/>
    <w:lvl w:ilvl="0" w:tplc="1F8ED6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80143"/>
    <w:multiLevelType w:val="multilevel"/>
    <w:tmpl w:val="86B44638"/>
    <w:lvl w:ilvl="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16B5CCA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BC213ED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D4C2BFF"/>
    <w:multiLevelType w:val="hybridMultilevel"/>
    <w:tmpl w:val="9816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72F79"/>
    <w:rsid w:val="000742E1"/>
    <w:rsid w:val="000821BD"/>
    <w:rsid w:val="000B6E92"/>
    <w:rsid w:val="000C380B"/>
    <w:rsid w:val="000E4719"/>
    <w:rsid w:val="00120A0B"/>
    <w:rsid w:val="0012510B"/>
    <w:rsid w:val="001266BD"/>
    <w:rsid w:val="001317B2"/>
    <w:rsid w:val="0018051E"/>
    <w:rsid w:val="00191A59"/>
    <w:rsid w:val="001920A8"/>
    <w:rsid w:val="001A0468"/>
    <w:rsid w:val="001D7336"/>
    <w:rsid w:val="00236ADC"/>
    <w:rsid w:val="0024283E"/>
    <w:rsid w:val="002519A2"/>
    <w:rsid w:val="00252BC9"/>
    <w:rsid w:val="00255733"/>
    <w:rsid w:val="002712EF"/>
    <w:rsid w:val="0029453E"/>
    <w:rsid w:val="002F4E63"/>
    <w:rsid w:val="002F7C98"/>
    <w:rsid w:val="00316F58"/>
    <w:rsid w:val="0034231D"/>
    <w:rsid w:val="0035759B"/>
    <w:rsid w:val="0039317A"/>
    <w:rsid w:val="003B37BC"/>
    <w:rsid w:val="003B4A0D"/>
    <w:rsid w:val="003C4C92"/>
    <w:rsid w:val="003D1E99"/>
    <w:rsid w:val="003F56BD"/>
    <w:rsid w:val="004115A5"/>
    <w:rsid w:val="00412211"/>
    <w:rsid w:val="0043074C"/>
    <w:rsid w:val="00445B90"/>
    <w:rsid w:val="00450ABF"/>
    <w:rsid w:val="00462D99"/>
    <w:rsid w:val="00471039"/>
    <w:rsid w:val="00491595"/>
    <w:rsid w:val="00491ADA"/>
    <w:rsid w:val="004A20E7"/>
    <w:rsid w:val="004C37D4"/>
    <w:rsid w:val="004C6C09"/>
    <w:rsid w:val="004D6E74"/>
    <w:rsid w:val="004E3670"/>
    <w:rsid w:val="004F6404"/>
    <w:rsid w:val="00541A48"/>
    <w:rsid w:val="00546735"/>
    <w:rsid w:val="0055507D"/>
    <w:rsid w:val="005C59F9"/>
    <w:rsid w:val="005E2632"/>
    <w:rsid w:val="005F530B"/>
    <w:rsid w:val="00636895"/>
    <w:rsid w:val="006B75A6"/>
    <w:rsid w:val="006C47BF"/>
    <w:rsid w:val="006E2966"/>
    <w:rsid w:val="00702C3C"/>
    <w:rsid w:val="0072005A"/>
    <w:rsid w:val="00722DF7"/>
    <w:rsid w:val="00726600"/>
    <w:rsid w:val="00740716"/>
    <w:rsid w:val="007558C4"/>
    <w:rsid w:val="00764425"/>
    <w:rsid w:val="007762A9"/>
    <w:rsid w:val="007A6326"/>
    <w:rsid w:val="007C493C"/>
    <w:rsid w:val="007F7908"/>
    <w:rsid w:val="00842236"/>
    <w:rsid w:val="008601A2"/>
    <w:rsid w:val="00875EE9"/>
    <w:rsid w:val="008D1FD5"/>
    <w:rsid w:val="00932E55"/>
    <w:rsid w:val="00940D92"/>
    <w:rsid w:val="00957FA2"/>
    <w:rsid w:val="00960CCC"/>
    <w:rsid w:val="00962AC8"/>
    <w:rsid w:val="009878D1"/>
    <w:rsid w:val="009A4F65"/>
    <w:rsid w:val="009C65C4"/>
    <w:rsid w:val="009D1E10"/>
    <w:rsid w:val="009E12A3"/>
    <w:rsid w:val="00A10940"/>
    <w:rsid w:val="00A257F1"/>
    <w:rsid w:val="00A26300"/>
    <w:rsid w:val="00A33F39"/>
    <w:rsid w:val="00A41831"/>
    <w:rsid w:val="00A46C86"/>
    <w:rsid w:val="00A54016"/>
    <w:rsid w:val="00A71D94"/>
    <w:rsid w:val="00A8656E"/>
    <w:rsid w:val="00AE249F"/>
    <w:rsid w:val="00AF1C90"/>
    <w:rsid w:val="00B02450"/>
    <w:rsid w:val="00B03F09"/>
    <w:rsid w:val="00B04753"/>
    <w:rsid w:val="00B459ED"/>
    <w:rsid w:val="00B86DF0"/>
    <w:rsid w:val="00BB5AB3"/>
    <w:rsid w:val="00C07504"/>
    <w:rsid w:val="00C13745"/>
    <w:rsid w:val="00C40F6A"/>
    <w:rsid w:val="00C43C40"/>
    <w:rsid w:val="00C63E27"/>
    <w:rsid w:val="00C93A28"/>
    <w:rsid w:val="00C97827"/>
    <w:rsid w:val="00CA358E"/>
    <w:rsid w:val="00CA5EC2"/>
    <w:rsid w:val="00CC36C9"/>
    <w:rsid w:val="00D044F0"/>
    <w:rsid w:val="00D135D1"/>
    <w:rsid w:val="00D423EE"/>
    <w:rsid w:val="00D42D69"/>
    <w:rsid w:val="00D77887"/>
    <w:rsid w:val="00DB4850"/>
    <w:rsid w:val="00DC4928"/>
    <w:rsid w:val="00DE5C7B"/>
    <w:rsid w:val="00DF179E"/>
    <w:rsid w:val="00E02592"/>
    <w:rsid w:val="00E0619E"/>
    <w:rsid w:val="00E14923"/>
    <w:rsid w:val="00E267D8"/>
    <w:rsid w:val="00E34D00"/>
    <w:rsid w:val="00EA194E"/>
    <w:rsid w:val="00ED009F"/>
    <w:rsid w:val="00EF2F7B"/>
    <w:rsid w:val="00F10644"/>
    <w:rsid w:val="00F10C0C"/>
    <w:rsid w:val="00F13742"/>
    <w:rsid w:val="00F17826"/>
    <w:rsid w:val="00F47DAB"/>
    <w:rsid w:val="00F85899"/>
    <w:rsid w:val="00FA3BC2"/>
    <w:rsid w:val="00FB1B55"/>
    <w:rsid w:val="00FB488C"/>
    <w:rsid w:val="00FD1A65"/>
    <w:rsid w:val="00FE520B"/>
    <w:rsid w:val="00FE5381"/>
    <w:rsid w:val="00FE6549"/>
    <w:rsid w:val="00FF4FF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204A-A3B9-451A-AA8B-2377708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3C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A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2019-03-04T11:36:00Z</cp:lastPrinted>
  <dcterms:created xsi:type="dcterms:W3CDTF">2020-02-27T08:46:00Z</dcterms:created>
  <dcterms:modified xsi:type="dcterms:W3CDTF">2020-02-27T08:46:00Z</dcterms:modified>
</cp:coreProperties>
</file>