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84"/>
        <w:jc w:val="center"/>
      </w:pPr>
      <w:r>
        <w:t xml:space="preserve"> 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0093" cy="573672"/>
                <wp:effectExtent l="0" t="0" r="0" b="0"/>
                <wp:docPr id="1" name="_x0000_i10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3504214" name=""/>
                        <pic:cNvPicPr/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rot="0" flipH="0" flipV="0">
                          <a:off x="0" y="0"/>
                          <a:ext cx="490091" cy="57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8.59pt;height:45.17pt;mso-wrap-distance-left:0.00pt;mso-wrap-distance-top:0.00pt;mso-wrap-distance-right:0.00pt;mso-wrap-distance-bottom:0.00pt;rotation:0;" stroked="f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pStyle w:val="884"/>
        <w:jc w:val="center"/>
        <w:rPr>
          <w:b/>
          <w:bCs/>
          <w:sz w:val="22"/>
          <w:szCs w:val="22"/>
          <w:highlight w:val="none"/>
        </w:rPr>
      </w:pPr>
      <w:r>
        <w:rPr>
          <w:b/>
          <w:sz w:val="22"/>
          <w:szCs w:val="22"/>
        </w:rPr>
        <w:t xml:space="preserve">РЕВИЗИОННАЯ КОМИССИЯ ВЫТЕГОРСКОГО МУНИЦИПАЛЬНОГО РАЙОНА</w:t>
      </w:r>
      <w:r>
        <w:rPr>
          <w:b/>
          <w:bCs/>
          <w:sz w:val="22"/>
          <w:szCs w:val="22"/>
          <w:highlight w:val="none"/>
        </w:rPr>
      </w:r>
      <w:r>
        <w:rPr>
          <w:b/>
          <w:bCs/>
          <w:sz w:val="22"/>
          <w:szCs w:val="22"/>
          <w:highlight w:val="none"/>
        </w:rPr>
      </w:r>
    </w:p>
    <w:p>
      <w:pPr>
        <w:pStyle w:val="884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162900, Вологодская область, г. Вытегра, пр. Ленина, д.68</w:t>
      </w:r>
      <w:r>
        <w:rPr>
          <w:b/>
          <w:sz w:val="22"/>
          <w:szCs w:val="22"/>
        </w:rPr>
      </w:r>
      <w:r>
        <w:rPr>
          <w:b/>
          <w:sz w:val="22"/>
          <w:szCs w:val="22"/>
        </w:rPr>
      </w:r>
    </w:p>
    <w:p>
      <w:pPr>
        <w:pStyle w:val="902"/>
        <w:jc w:val="center"/>
      </w:pPr>
      <w:r>
        <w:t xml:space="preserve">тел. (81746) </w:t>
      </w:r>
      <w:r>
        <w:t xml:space="preserve"> 2-22-03</w:t>
      </w:r>
      <w:r>
        <w:t xml:space="preserve">,  факс (81746) ______,       </w:t>
      </w:r>
      <w:r>
        <w:rPr>
          <w:lang w:val="en-US"/>
        </w:rPr>
        <w:t xml:space="preserve">e</w:t>
      </w:r>
      <w:r>
        <w:t xml:space="preserve">-</w:t>
      </w:r>
      <w:r>
        <w:rPr>
          <w:lang w:val="en-US"/>
        </w:rPr>
        <w:t xml:space="preserve">mail</w:t>
      </w:r>
      <w:r>
        <w:t xml:space="preserve">:</w:t>
      </w:r>
      <w:r>
        <w:t xml:space="preserve">    </w:t>
      </w:r>
      <w:r>
        <w:t xml:space="preserve"> </w:t>
      </w:r>
      <w:r>
        <w:rPr>
          <w:u w:val="single"/>
          <w:lang w:val="en-US"/>
        </w:rPr>
        <w:t xml:space="preserve">revkom</w:t>
      </w:r>
      <w:r>
        <w:rPr>
          <w:u w:val="single"/>
        </w:rPr>
        <w:t xml:space="preserve">@</w:t>
      </w:r>
      <w:r>
        <w:rPr>
          <w:u w:val="single"/>
          <w:lang w:val="en-US"/>
        </w:rPr>
        <w:t xml:space="preserve">vytegra</w:t>
      </w:r>
      <w:r>
        <w:rPr>
          <w:u w:val="single"/>
        </w:rPr>
        <w:t xml:space="preserve">-</w:t>
      </w:r>
      <w:r>
        <w:rPr>
          <w:u w:val="single"/>
          <w:lang w:val="en-US"/>
        </w:rPr>
        <w:t xml:space="preserve">adm</w:t>
      </w:r>
      <w:r>
        <w:rPr>
          <w:u w:val="single"/>
        </w:rPr>
        <w:t xml:space="preserve">.</w:t>
      </w:r>
      <w:r>
        <w:rPr>
          <w:u w:val="single"/>
          <w:lang w:val="en-US"/>
        </w:rPr>
        <w:t xml:space="preserve">ru</w: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524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173355</wp:posOffset>
                </wp:positionV>
                <wp:extent cx="6245860" cy="0"/>
                <wp:effectExtent l="0" t="0" r="0" b="0"/>
                <wp:wrapNone/>
                <wp:docPr id="2" name="_x0000_s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245859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1" o:spid="_x0000_s1" style="position:absolute;left:0;text-align:left;z-index:524288;mso-wrap-distance-left:9.00pt;mso-wrap-distance-top:0.00pt;mso-wrap-distance-right:9.00pt;mso-wrap-distance-bottom:0.00pt;visibility:visible;" from="0.0pt,13.6pt" to="491.8pt,13.6pt" filled="f" strokecolor="#000000" strokeweight="4.50pt"/>
            </w:pict>
          </mc:Fallback>
        </mc:AlternateContent>
      </w:r>
      <w:r>
        <w:rPr>
          <w:b/>
          <w:spacing w:val="50"/>
        </w:rPr>
      </w:r>
      <w:r/>
    </w:p>
    <w:p>
      <w:pPr>
        <w:pStyle w:val="8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ОТЧЕТ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об итогах</w:t>
      </w:r>
      <w:r>
        <w:rPr>
          <w:sz w:val="28"/>
          <w:szCs w:val="28"/>
        </w:rPr>
        <w:t xml:space="preserve"> работы Ревизионной комиссии</w:t>
      </w:r>
      <w:r>
        <w:rPr>
          <w:sz w:val="28"/>
          <w:szCs w:val="28"/>
        </w:rPr>
        <w:t xml:space="preserve">  Вытегорского</w:t>
      </w:r>
      <w:r>
        <w:rPr>
          <w:sz w:val="28"/>
          <w:szCs w:val="28"/>
        </w:rPr>
        <w:t xml:space="preserve"> муниципального района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2024</w:t>
      </w:r>
      <w:r>
        <w:rPr>
          <w:sz w:val="28"/>
          <w:szCs w:val="28"/>
        </w:rPr>
        <w:t xml:space="preserve"> год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«28» февраля 2025</w:t>
      </w:r>
      <w:r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                г. Вытегра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94"/>
        <w:ind w:right="0" w:firstLine="0"/>
        <w:jc w:val="both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94"/>
        <w:numPr>
          <w:ilvl w:val="0"/>
          <w:numId w:val="7"/>
        </w:numPr>
        <w:ind w:left="0" w:right="0"/>
        <w:jc w:val="center"/>
        <w:widowControl/>
        <w:rPr>
          <w:rFonts w:ascii="Times New Roman" w:hAnsi="Times New Roman" w:cs="Times New Roman"/>
          <w:sz w:val="28"/>
          <w:szCs w:val="28"/>
        </w:rPr>
      </w:pPr>
      <w:r>
        <w:rPr>
          <w:rStyle w:val="891"/>
          <w:rFonts w:ascii="Times New Roman" w:hAnsi="Times New Roman" w:cs="Times New Roman"/>
          <w:sz w:val="28"/>
          <w:szCs w:val="28"/>
        </w:rPr>
        <w:t xml:space="preserve">Общие сведения, характеризующие деятельность </w:t>
      </w:r>
      <w:r>
        <w:rPr>
          <w:rStyle w:val="891"/>
          <w:rFonts w:ascii="Times New Roman" w:hAnsi="Times New Roman" w:cs="Times New Roman"/>
          <w:sz w:val="28"/>
          <w:szCs w:val="28"/>
        </w:rPr>
        <w:t xml:space="preserve">Ревизионной комиссии Вытегорского муниципального района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94"/>
        <w:ind w:left="0" w:right="0" w:firstLine="0"/>
        <w:jc w:val="center"/>
        <w:widowControl/>
        <w:rPr>
          <w:rFonts w:ascii="Times New Roman" w:hAnsi="Times New Roman" w:cs="Times New Roman"/>
          <w:sz w:val="28"/>
          <w:szCs w:val="28"/>
        </w:rPr>
      </w:pPr>
      <w:r>
        <w:rPr>
          <w:rStyle w:val="891"/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94"/>
        <w:ind w:right="0" w:firstLine="0"/>
        <w:jc w:val="both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Полномочия Ревизионной комиссии Вытегорского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(д</w:t>
      </w:r>
      <w:r>
        <w:rPr>
          <w:rFonts w:ascii="Times New Roman" w:hAnsi="Times New Roman" w:cs="Times New Roman"/>
          <w:sz w:val="28"/>
          <w:szCs w:val="28"/>
        </w:rPr>
        <w:t xml:space="preserve">алее – Ревизионная комиссия)</w:t>
      </w:r>
      <w:r>
        <w:rPr>
          <w:rFonts w:ascii="Times New Roman" w:hAnsi="Times New Roman" w:cs="Times New Roman"/>
          <w:sz w:val="28"/>
          <w:szCs w:val="28"/>
        </w:rPr>
        <w:t xml:space="preserve"> опр</w:t>
      </w:r>
      <w:r>
        <w:rPr>
          <w:rFonts w:ascii="Times New Roman" w:hAnsi="Times New Roman" w:cs="Times New Roman"/>
          <w:sz w:val="28"/>
          <w:szCs w:val="28"/>
        </w:rPr>
        <w:t xml:space="preserve">еделены Бюджетным кодексом РФ, Ф</w:t>
      </w:r>
      <w:r>
        <w:rPr>
          <w:rFonts w:ascii="Times New Roman" w:hAnsi="Times New Roman" w:cs="Times New Roman"/>
          <w:sz w:val="28"/>
          <w:szCs w:val="28"/>
        </w:rPr>
        <w:t xml:space="preserve">едеральным законом</w:t>
      </w:r>
      <w:r>
        <w:rPr>
          <w:rFonts w:ascii="Times New Roman" w:hAnsi="Times New Roman" w:cs="Times New Roman"/>
          <w:sz w:val="28"/>
          <w:szCs w:val="28"/>
        </w:rPr>
        <w:t xml:space="preserve"> от 07.02.2011</w:t>
      </w:r>
      <w:r>
        <w:rPr>
          <w:rFonts w:ascii="Times New Roman" w:hAnsi="Times New Roman" w:cs="Times New Roman"/>
          <w:sz w:val="28"/>
          <w:szCs w:val="28"/>
        </w:rPr>
        <w:t xml:space="preserve"> № 6</w:t>
      </w:r>
      <w:r>
        <w:rPr>
          <w:rFonts w:ascii="Times New Roman" w:hAnsi="Times New Roman" w:cs="Times New Roman"/>
          <w:sz w:val="28"/>
          <w:szCs w:val="28"/>
        </w:rPr>
        <w:t xml:space="preserve">-ФЗ </w:t>
      </w:r>
      <w:r>
        <w:rPr>
          <w:rFonts w:ascii="Times New Roman" w:hAnsi="Times New Roman" w:cs="Times New Roman"/>
          <w:sz w:val="28"/>
          <w:szCs w:val="28"/>
        </w:rPr>
        <w:t xml:space="preserve"> «Об общих принципах организации и деятельности контрольно-счётных органов субъектов Российской Федерации, федеральных территорий и муниципальных образований</w:t>
      </w:r>
      <w:r>
        <w:rPr>
          <w:rFonts w:ascii="Times New Roman" w:hAnsi="Times New Roman" w:cs="Times New Roman"/>
          <w:sz w:val="28"/>
          <w:szCs w:val="28"/>
        </w:rPr>
        <w:t xml:space="preserve">», Уставом Вытегорского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района, Положе</w:t>
      </w:r>
      <w:r>
        <w:rPr>
          <w:rFonts w:ascii="Times New Roman" w:hAnsi="Times New Roman" w:cs="Times New Roman"/>
          <w:sz w:val="28"/>
          <w:szCs w:val="28"/>
        </w:rPr>
        <w:t xml:space="preserve">нием о Ревизионной комиссии</w:t>
      </w:r>
      <w:r>
        <w:rPr>
          <w:rFonts w:ascii="Times New Roman" w:hAnsi="Times New Roman" w:cs="Times New Roman"/>
          <w:sz w:val="28"/>
          <w:szCs w:val="28"/>
        </w:rPr>
        <w:t xml:space="preserve"> и Положением о </w:t>
      </w:r>
      <w:r>
        <w:rPr>
          <w:rFonts w:ascii="Times New Roman" w:hAnsi="Times New Roman" w:cs="Times New Roman"/>
          <w:sz w:val="28"/>
          <w:szCs w:val="28"/>
        </w:rPr>
        <w:t xml:space="preserve">бюджетном процессе в Вытегорском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94"/>
        <w:ind w:right="0" w:firstLine="0"/>
        <w:jc w:val="both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Ревизионная комиссия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Уставом </w:t>
      </w:r>
      <w:r>
        <w:rPr>
          <w:rFonts w:ascii="Times New Roman" w:hAnsi="Times New Roman" w:cs="Times New Roman"/>
          <w:sz w:val="28"/>
          <w:szCs w:val="28"/>
        </w:rPr>
        <w:t xml:space="preserve">района</w:t>
      </w:r>
      <w:r>
        <w:rPr>
          <w:rFonts w:ascii="Times New Roman" w:hAnsi="Times New Roman" w:cs="Times New Roman"/>
          <w:sz w:val="28"/>
          <w:szCs w:val="28"/>
        </w:rPr>
        <w:t xml:space="preserve"> является постоянно действующим органом внешнего муниципального финансового контроля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94"/>
        <w:ind w:right="0" w:firstLine="0"/>
        <w:jc w:val="both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Ревизионная комиссия создана решением Представительного Собрания Вытегорского муниципального района № 35 от 11.12.2013 года.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94"/>
        <w:ind w:left="0" w:right="0" w:firstLine="567"/>
        <w:jc w:val="both"/>
        <w:widowControl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отчетном 2024</w:t>
      </w:r>
      <w:r>
        <w:rPr>
          <w:rFonts w:ascii="Times New Roman" w:hAnsi="Times New Roman" w:cs="Times New Roman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Ревизионная комиссия о</w:t>
      </w:r>
      <w:r>
        <w:rPr>
          <w:rFonts w:ascii="Times New Roman" w:hAnsi="Times New Roman" w:cs="Times New Roman"/>
          <w:sz w:val="28"/>
          <w:szCs w:val="28"/>
        </w:rPr>
        <w:t xml:space="preserve">существляла</w:t>
      </w:r>
      <w:r>
        <w:rPr>
          <w:rFonts w:ascii="Times New Roman" w:hAnsi="Times New Roman" w:cs="Times New Roman"/>
          <w:sz w:val="28"/>
          <w:szCs w:val="28"/>
        </w:rPr>
        <w:t xml:space="preserve"> свою</w:t>
      </w:r>
      <w:r>
        <w:rPr>
          <w:rFonts w:ascii="Times New Roman" w:hAnsi="Times New Roman" w:cs="Times New Roman"/>
          <w:sz w:val="28"/>
          <w:szCs w:val="28"/>
        </w:rPr>
        <w:t xml:space="preserve"> деятельность в соответствии с П</w:t>
      </w:r>
      <w:r>
        <w:rPr>
          <w:rFonts w:ascii="Times New Roman" w:hAnsi="Times New Roman" w:cs="Times New Roman"/>
          <w:sz w:val="28"/>
          <w:szCs w:val="28"/>
        </w:rPr>
        <w:t xml:space="preserve">ланом работы, утвержденным </w:t>
      </w:r>
      <w:r>
        <w:rPr>
          <w:rFonts w:ascii="Times New Roman" w:hAnsi="Times New Roman" w:cs="Times New Roman"/>
          <w:sz w:val="28"/>
          <w:szCs w:val="28"/>
        </w:rPr>
        <w:t xml:space="preserve">приказом № </w:t>
      </w:r>
      <w:r>
        <w:rPr>
          <w:rFonts w:ascii="Times New Roman" w:hAnsi="Times New Roman" w:cs="Times New Roman"/>
          <w:sz w:val="28"/>
          <w:szCs w:val="28"/>
        </w:rPr>
        <w:t xml:space="preserve">6 от </w:t>
      </w:r>
      <w:r>
        <w:rPr>
          <w:rFonts w:ascii="Times New Roman" w:hAnsi="Times New Roman" w:cs="Times New Roman"/>
          <w:sz w:val="28"/>
          <w:szCs w:val="28"/>
        </w:rPr>
        <w:t xml:space="preserve">29</w:t>
      </w:r>
      <w:r>
        <w:rPr>
          <w:rFonts w:ascii="Times New Roman" w:hAnsi="Times New Roman" w:cs="Times New Roman"/>
          <w:sz w:val="28"/>
          <w:szCs w:val="28"/>
        </w:rPr>
        <w:t xml:space="preserve">.12</w:t>
      </w:r>
      <w:r>
        <w:rPr>
          <w:rFonts w:ascii="Times New Roman" w:hAnsi="Times New Roman" w:cs="Times New Roman"/>
          <w:sz w:val="28"/>
          <w:szCs w:val="28"/>
        </w:rPr>
        <w:t xml:space="preserve">.2023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(с последующими изменениями).</w:t>
      </w:r>
      <w:r>
        <w:rPr>
          <w:rFonts w:ascii="Times New Roman" w:hAnsi="Times New Roman" w:cs="Times New Roman"/>
          <w:color w:val="ff0000"/>
          <w:sz w:val="28"/>
          <w:szCs w:val="28"/>
        </w:rPr>
      </w:r>
      <w:r>
        <w:rPr>
          <w:rFonts w:ascii="Times New Roman" w:hAnsi="Times New Roman" w:cs="Times New Roman"/>
          <w:color w:val="ff0000"/>
          <w:sz w:val="28"/>
          <w:szCs w:val="28"/>
        </w:rPr>
      </w:r>
    </w:p>
    <w:p>
      <w:pPr>
        <w:pStyle w:val="894"/>
        <w:ind w:left="0" w:right="0" w:firstLine="567"/>
        <w:jc w:val="both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Ревизионная комиссия осуществляет</w:t>
      </w:r>
      <w:r>
        <w:rPr>
          <w:rFonts w:ascii="Times New Roman" w:hAnsi="Times New Roman" w:cs="Times New Roman"/>
          <w:sz w:val="28"/>
          <w:szCs w:val="28"/>
        </w:rPr>
        <w:t xml:space="preserve"> возложенные на нее полномочия по внешнему муниципальному финансовому контролю в форме контрольных и экспертно-аналитических мероприятий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отчетном периоде</w:t>
      </w:r>
      <w:r>
        <w:rPr>
          <w:rFonts w:ascii="Times New Roman" w:hAnsi="Times New Roman" w:cs="Times New Roman"/>
          <w:sz w:val="28"/>
          <w:szCs w:val="28"/>
        </w:rPr>
        <w:t xml:space="preserve"> осуществлялся</w:t>
      </w:r>
      <w:r>
        <w:rPr>
          <w:rFonts w:ascii="Times New Roman" w:hAnsi="Times New Roman" w:cs="Times New Roman"/>
          <w:sz w:val="28"/>
          <w:szCs w:val="28"/>
        </w:rPr>
        <w:t xml:space="preserve"> контроль бюджетов: за 2023</w:t>
      </w:r>
      <w:r>
        <w:rPr>
          <w:rFonts w:ascii="Times New Roman" w:hAnsi="Times New Roman" w:cs="Times New Roman"/>
          <w:sz w:val="28"/>
          <w:szCs w:val="28"/>
        </w:rPr>
        <w:t xml:space="preserve"> год </w:t>
      </w:r>
      <w:r>
        <w:rPr>
          <w:rFonts w:ascii="Times New Roman" w:hAnsi="Times New Roman" w:cs="Times New Roman"/>
          <w:sz w:val="28"/>
          <w:szCs w:val="28"/>
        </w:rPr>
        <w:t xml:space="preserve">(исполнение за отчетный период), </w:t>
      </w:r>
      <w:r>
        <w:rPr>
          <w:rFonts w:ascii="Times New Roman" w:hAnsi="Times New Roman" w:cs="Times New Roman"/>
          <w:sz w:val="28"/>
          <w:szCs w:val="28"/>
        </w:rPr>
        <w:t xml:space="preserve">текущее исполнение в </w:t>
      </w:r>
      <w:r>
        <w:rPr>
          <w:rFonts w:ascii="Times New Roman" w:hAnsi="Times New Roman" w:cs="Times New Roman"/>
          <w:sz w:val="28"/>
          <w:szCs w:val="28"/>
        </w:rPr>
        <w:t xml:space="preserve">2024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 xml:space="preserve">у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95"/>
        <w:ind w:firstLine="567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Ревизионная комиссия</w:t>
      </w:r>
      <w:r>
        <w:rPr>
          <w:sz w:val="28"/>
          <w:szCs w:val="28"/>
        </w:rPr>
        <w:t xml:space="preserve"> осуществляет</w:t>
      </w:r>
      <w:r>
        <w:rPr>
          <w:sz w:val="28"/>
          <w:szCs w:val="28"/>
        </w:rPr>
        <w:t xml:space="preserve"> полномочия конт</w:t>
      </w:r>
      <w:r>
        <w:rPr>
          <w:sz w:val="28"/>
          <w:szCs w:val="28"/>
        </w:rPr>
        <w:t xml:space="preserve">рольно-счетного органа </w:t>
      </w:r>
      <w:r>
        <w:rPr>
          <w:sz w:val="28"/>
          <w:szCs w:val="28"/>
        </w:rPr>
        <w:t xml:space="preserve">всех </w:t>
      </w:r>
      <w:r>
        <w:rPr>
          <w:sz w:val="28"/>
          <w:szCs w:val="28"/>
        </w:rPr>
        <w:t xml:space="preserve">поселений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входящих в состав Вытегорского муниципального района. Полномочия </w:t>
      </w:r>
      <w:r>
        <w:rPr>
          <w:sz w:val="28"/>
          <w:szCs w:val="28"/>
        </w:rPr>
        <w:t xml:space="preserve"> передан</w:t>
      </w:r>
      <w:r>
        <w:rPr>
          <w:sz w:val="28"/>
          <w:szCs w:val="28"/>
        </w:rPr>
        <w:t xml:space="preserve">ы</w:t>
      </w:r>
      <w:r>
        <w:rPr>
          <w:sz w:val="28"/>
          <w:szCs w:val="28"/>
        </w:rPr>
        <w:t xml:space="preserve"> в соответствии с Соглашениями между Представительным Собранием и Советами сельских по</w:t>
      </w:r>
      <w:r>
        <w:rPr>
          <w:sz w:val="28"/>
          <w:szCs w:val="28"/>
        </w:rPr>
        <w:t xml:space="preserve">селений и Городским Советом</w:t>
      </w:r>
      <w:r>
        <w:rPr>
          <w:sz w:val="28"/>
          <w:szCs w:val="28"/>
        </w:rPr>
        <w:t xml:space="preserve"> муниципального образования «Город Вытегра»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94"/>
        <w:ind w:right="0" w:firstLine="0"/>
        <w:jc w:val="both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Приоритетным видом деятел</w:t>
      </w:r>
      <w:r>
        <w:rPr>
          <w:rFonts w:ascii="Times New Roman" w:hAnsi="Times New Roman" w:cs="Times New Roman"/>
          <w:sz w:val="28"/>
          <w:szCs w:val="28"/>
        </w:rPr>
        <w:t xml:space="preserve">ь</w:t>
      </w:r>
      <w:r>
        <w:rPr>
          <w:rFonts w:ascii="Times New Roman" w:hAnsi="Times New Roman" w:cs="Times New Roman"/>
          <w:sz w:val="28"/>
          <w:szCs w:val="28"/>
        </w:rPr>
        <w:t xml:space="preserve">ности Ревизионной комиссии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отчетном периоде являлась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экспертн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-аналитическая </w:t>
      </w:r>
      <w:r>
        <w:rPr>
          <w:rFonts w:ascii="Times New Roman" w:hAnsi="Times New Roman" w:cs="Times New Roman"/>
          <w:sz w:val="28"/>
          <w:szCs w:val="28"/>
        </w:rPr>
        <w:t xml:space="preserve">работа, которая</w:t>
      </w:r>
      <w:r>
        <w:rPr>
          <w:rFonts w:ascii="Times New Roman" w:hAnsi="Times New Roman" w:cs="Times New Roman"/>
          <w:sz w:val="28"/>
          <w:szCs w:val="28"/>
        </w:rPr>
        <w:t xml:space="preserve"> направлена на </w:t>
      </w:r>
      <w:r>
        <w:rPr>
          <w:rFonts w:ascii="Times New Roman" w:hAnsi="Times New Roman" w:cs="Times New Roman"/>
          <w:sz w:val="28"/>
          <w:szCs w:val="28"/>
        </w:rPr>
        <w:t xml:space="preserve">снижение</w:t>
      </w:r>
      <w:r>
        <w:rPr>
          <w:rFonts w:ascii="Times New Roman" w:hAnsi="Times New Roman" w:cs="Times New Roman"/>
          <w:sz w:val="28"/>
          <w:szCs w:val="28"/>
        </w:rPr>
        <w:t xml:space="preserve"> рисков и затрат бюджетных ресурсов на стадии принятия муниципальных правовых актов.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94"/>
        <w:ind w:right="0" w:firstLine="0"/>
        <w:jc w:val="both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отчетно</w:t>
      </w:r>
      <w:r>
        <w:rPr>
          <w:rFonts w:ascii="Times New Roman" w:hAnsi="Times New Roman" w:cs="Times New Roman"/>
          <w:sz w:val="28"/>
          <w:szCs w:val="28"/>
        </w:rPr>
        <w:t xml:space="preserve">м периоде Ревизионной комиссией </w:t>
      </w:r>
      <w:r>
        <w:rPr>
          <w:rFonts w:ascii="Times New Roman" w:hAnsi="Times New Roman" w:cs="Times New Roman"/>
          <w:sz w:val="28"/>
          <w:szCs w:val="28"/>
        </w:rPr>
        <w:t xml:space="preserve">подготовлено 365</w:t>
      </w:r>
      <w:r>
        <w:rPr>
          <w:rFonts w:ascii="Times New Roman" w:hAnsi="Times New Roman" w:cs="Times New Roman"/>
          <w:sz w:val="28"/>
          <w:szCs w:val="28"/>
        </w:rPr>
        <w:t xml:space="preserve"> заключени</w:t>
      </w:r>
      <w:r>
        <w:rPr>
          <w:rFonts w:ascii="Times New Roman" w:hAnsi="Times New Roman" w:cs="Times New Roman"/>
          <w:sz w:val="28"/>
          <w:szCs w:val="28"/>
        </w:rPr>
        <w:t xml:space="preserve">й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проекты</w:t>
      </w:r>
      <w:r>
        <w:rPr>
          <w:rFonts w:ascii="Times New Roman" w:hAnsi="Times New Roman" w:cs="Times New Roman"/>
          <w:sz w:val="28"/>
          <w:szCs w:val="28"/>
        </w:rPr>
        <w:t xml:space="preserve"> решений Представительного С</w:t>
      </w:r>
      <w:r>
        <w:rPr>
          <w:rFonts w:ascii="Times New Roman" w:hAnsi="Times New Roman" w:cs="Times New Roman"/>
          <w:sz w:val="28"/>
          <w:szCs w:val="28"/>
        </w:rPr>
        <w:t xml:space="preserve">обрания района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Советов муниципальных образований района,</w:t>
      </w:r>
      <w:r>
        <w:rPr>
          <w:rFonts w:ascii="Times New Roman" w:hAnsi="Times New Roman" w:cs="Times New Roman"/>
          <w:sz w:val="28"/>
          <w:szCs w:val="28"/>
        </w:rPr>
        <w:t xml:space="preserve"> постановлений Администрации района</w:t>
      </w:r>
      <w:r>
        <w:rPr>
          <w:rFonts w:ascii="Times New Roman" w:hAnsi="Times New Roman" w:cs="Times New Roman"/>
          <w:sz w:val="28"/>
          <w:szCs w:val="28"/>
        </w:rPr>
        <w:t xml:space="preserve"> и администраций поселений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94"/>
        <w:ind w:right="0" w:firstLine="709"/>
        <w:jc w:val="both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Динамика количества провед</w:t>
      </w:r>
      <w:r>
        <w:rPr>
          <w:rFonts w:ascii="Times New Roman" w:hAnsi="Times New Roman" w:cs="Times New Roman"/>
          <w:sz w:val="28"/>
          <w:szCs w:val="28"/>
        </w:rPr>
        <w:t xml:space="preserve">ённых Ревизионной комиссией</w:t>
      </w:r>
      <w:r>
        <w:rPr>
          <w:rFonts w:ascii="Times New Roman" w:hAnsi="Times New Roman" w:cs="Times New Roman"/>
          <w:sz w:val="28"/>
          <w:szCs w:val="28"/>
        </w:rPr>
        <w:t xml:space="preserve"> экспертно-аналитических и</w:t>
      </w:r>
      <w:r>
        <w:rPr>
          <w:rFonts w:ascii="Times New Roman" w:hAnsi="Times New Roman" w:cs="Times New Roman"/>
          <w:sz w:val="28"/>
          <w:szCs w:val="28"/>
        </w:rPr>
        <w:t xml:space="preserve"> контрольных меропр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ятий за 2023</w:t>
      </w:r>
      <w:r>
        <w:rPr>
          <w:rFonts w:ascii="Times New Roman" w:hAnsi="Times New Roman" w:cs="Times New Roman"/>
          <w:sz w:val="28"/>
          <w:szCs w:val="28"/>
        </w:rPr>
        <w:t xml:space="preserve"> год и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2024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 xml:space="preserve"> приведена в таблицах: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W w:w="10173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2376"/>
        <w:gridCol w:w="709"/>
        <w:gridCol w:w="851"/>
        <w:gridCol w:w="708"/>
        <w:gridCol w:w="709"/>
        <w:gridCol w:w="709"/>
        <w:gridCol w:w="709"/>
        <w:gridCol w:w="1134"/>
        <w:gridCol w:w="1134"/>
        <w:gridCol w:w="113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2376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both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Исполнение 2023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год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851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План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года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8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Выполнение 1 кв. 2024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г.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Выполнение 2 кв. 2024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г.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Выполнение 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кв. 2024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г.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Выполнение 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кв. 2024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г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  <w:t xml:space="preserve">Исполнение за 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  <w:t xml:space="preserve"> 2024 г.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r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% исполнения годового плана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% исполнения к уровню 2023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года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84"/>
        </w:trPr>
        <w:tc>
          <w:tcPr>
            <w:tcW w:w="2376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both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Контрольные мероприятия 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5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</w:p>
        </w:tc>
        <w:tc>
          <w:tcPr>
            <w:tcW w:w="851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7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8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 xml:space="preserve">3</w:t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none"/>
              </w:rPr>
              <w:t xml:space="preserve">1</w:t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highlight w:val="none"/>
              </w:rPr>
              <w:t xml:space="preserve">7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highlight w:val="white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none"/>
              </w:rPr>
              <w:t xml:space="preserve">100,0</w:t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 xml:space="preserve">%</w:t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 xml:space="preserve">140,0 %</w:t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2376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both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Контрольные мероприятия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–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внешняя проверка бюджетной отчетности главных распорядителей бюджета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)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9 (13)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</w:p>
        </w:tc>
        <w:tc>
          <w:tcPr>
            <w:tcW w:w="851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9 (13)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8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9(13)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  <w:t xml:space="preserve">9(13)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 xml:space="preserve">100,0 %</w:t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 xml:space="preserve">100,0 %</w:t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32"/>
        </w:trPr>
        <w:tc>
          <w:tcPr>
            <w:tcW w:w="2376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both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Аудит закупок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(контрольные мероприятия)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3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</w:p>
        </w:tc>
        <w:tc>
          <w:tcPr>
            <w:tcW w:w="851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8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 xml:space="preserve">100,0 %</w:t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 xml:space="preserve">33,3 %</w:t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2376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both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Экспертно-аналитические мероприятия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364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</w:p>
        </w:tc>
        <w:tc>
          <w:tcPr>
            <w:tcW w:w="851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*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8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46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65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58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196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365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*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100,3%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9"/>
        </w:trPr>
        <w:tc>
          <w:tcPr>
            <w:tcW w:w="2376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both"/>
              <w:widowControl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Всего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381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</w:p>
        </w:tc>
        <w:tc>
          <w:tcPr>
            <w:tcW w:w="851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*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</w:p>
        </w:tc>
        <w:tc>
          <w:tcPr>
            <w:tcW w:w="708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48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382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*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100,3 %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</w:p>
        </w:tc>
      </w:tr>
    </w:tbl>
    <w:p>
      <w:pPr>
        <w:pStyle w:val="894"/>
        <w:ind w:right="0" w:firstLine="0"/>
        <w:jc w:val="both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94"/>
        <w:ind w:right="0" w:firstLine="0"/>
        <w:jc w:val="both"/>
        <w:widowControl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Количество проведенных контрольных и экспертно-аналитических </w:t>
      </w:r>
      <w:r>
        <w:rPr>
          <w:rFonts w:ascii="Times New Roman" w:hAnsi="Times New Roman" w:cs="Times New Roman"/>
          <w:sz w:val="28"/>
          <w:szCs w:val="28"/>
        </w:rPr>
        <w:t xml:space="preserve">мероприятий в 2024 году по сравнению с 2023 годом существенно не изменилось. Больший объем проверочных мероприятий осуществляется в рамках проведения экспертизы проектов нормативных правовых актов, в том числе проектов изменений в муниципальные программы. 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894"/>
        <w:ind w:right="0" w:firstLine="0"/>
        <w:jc w:val="both"/>
        <w:widowControl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tbl>
      <w:tblPr>
        <w:tblW w:w="10631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709"/>
        <w:gridCol w:w="709"/>
        <w:gridCol w:w="709"/>
        <w:gridCol w:w="850"/>
        <w:gridCol w:w="709"/>
        <w:gridCol w:w="709"/>
        <w:gridCol w:w="709"/>
        <w:gridCol w:w="850"/>
        <w:gridCol w:w="709"/>
        <w:gridCol w:w="850"/>
        <w:gridCol w:w="992"/>
        <w:gridCol w:w="850"/>
      </w:tblGrid>
      <w:tr>
        <w:tblPrEx/>
        <w:trPr/>
        <w:tc>
          <w:tcPr>
            <w:tcW w:w="1276" w:type="dxa"/>
            <w:vMerge w:val="restart"/>
            <w:textDirection w:val="lrTb"/>
            <w:noWrap w:val="false"/>
          </w:tcPr>
          <w:p>
            <w:pPr>
              <w:pStyle w:val="894"/>
              <w:ind w:right="0" w:firstLine="0"/>
              <w:jc w:val="both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gridSpan w:val="4"/>
            <w:tcW w:w="2977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2022 год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gridSpan w:val="4"/>
            <w:tcW w:w="2977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2023 год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gridSpan w:val="4"/>
            <w:tcW w:w="3401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 xml:space="preserve">2024  год</w:t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</w:p>
        </w:tc>
      </w:tr>
      <w:tr>
        <w:tblPrEx/>
        <w:trPr/>
        <w:tc>
          <w:tcPr>
            <w:tcW w:w="1276" w:type="dxa"/>
            <w:vMerge w:val="continue"/>
            <w:textDirection w:val="lrTb"/>
            <w:noWrap w:val="false"/>
          </w:tcPr>
          <w:p>
            <w:pPr>
              <w:pStyle w:val="894"/>
              <w:ind w:right="0" w:firstLine="0"/>
              <w:jc w:val="both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Кол-во актов, заключений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Кол-во объектов контроля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Выявлено нарушений и недостатков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Сумма нарушений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Кол-во актов, заключений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Кол-во объектов контроля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Выявлено нарушений и недостатков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Сумма нарушений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 xml:space="preserve">Кол-во актов, заключений</w:t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 xml:space="preserve">Кол-во объектов контроля</w:t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 xml:space="preserve">Выявлено нарушений и недостатков</w:t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non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 xml:space="preserve">Сумма нарушений</w:t>
            </w:r>
            <w:r>
              <w:rPr>
                <w:rFonts w:ascii="Times New Roman" w:hAnsi="Times New Roman" w:cs="Times New Roman"/>
                <w:sz w:val="16"/>
                <w:szCs w:val="16"/>
                <w:highlight w:val="non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none"/>
              </w:rPr>
            </w:r>
          </w:p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none"/>
              </w:rPr>
              <w:t xml:space="preserve">и недостатков</w:t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</w:p>
        </w:tc>
      </w:tr>
      <w:tr>
        <w:tblPrEx/>
        <w:trPr/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both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Контрольные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8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8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54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115412,4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8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8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51</w:t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69170,3</w:t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 xml:space="preserve">8</w:t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 xml:space="preserve">8</w:t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none"/>
              </w:rPr>
              <w:t xml:space="preserve">81</w:t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none"/>
              </w:rPr>
              <w:t xml:space="preserve">3675,7</w:t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</w:p>
        </w:tc>
      </w:tr>
      <w:tr>
        <w:tblPrEx/>
        <w:trPr/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both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Контрольные мероприятия - внешняя проверка бюджетной отчетности главных распорядителей бюджета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13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13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32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722,6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13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13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10</w:t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0,8</w:t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 xml:space="preserve">13</w:t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 xml:space="preserve">13</w:t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none"/>
              </w:rPr>
              <w:t xml:space="preserve">32</w:t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none"/>
              </w:rPr>
              <w:t xml:space="preserve">505,5</w:t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</w:p>
        </w:tc>
      </w:tr>
      <w:tr>
        <w:tblPrEx/>
        <w:trPr/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both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Экспертно-аналитические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370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400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217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184,3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364</w:t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392</w:t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234</w:t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5,0</w:t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none"/>
              </w:rPr>
              <w:t xml:space="preserve">365</w:t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none"/>
              </w:rPr>
              <w:t xml:space="preserve">365</w:t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none"/>
              </w:rPr>
              <w:t xml:space="preserve">139</w:t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none"/>
              </w:rPr>
              <w:t xml:space="preserve">2938,4</w:t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</w:p>
        </w:tc>
      </w:tr>
      <w:tr>
        <w:tblPrEx/>
        <w:trPr/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both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всего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391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421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303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116319,3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385</w:t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 xml:space="preserve">405</w:t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295</w:t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69176,1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none"/>
              </w:rPr>
              <w:t xml:space="preserve">386</w:t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none"/>
              </w:rPr>
              <w:t xml:space="preserve">386</w:t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none"/>
              </w:rPr>
              <w:t xml:space="preserve">252</w:t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7119,6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</w:tbl>
    <w:p>
      <w:pPr>
        <w:pStyle w:val="894"/>
        <w:ind w:right="0" w:firstLine="0"/>
        <w:jc w:val="both"/>
        <w:widowControl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894"/>
        <w:ind w:right="0" w:firstLine="0"/>
        <w:jc w:val="both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Количество объектов, охваченных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2024</w:t>
      </w:r>
      <w:r>
        <w:rPr>
          <w:rFonts w:ascii="Times New Roman" w:hAnsi="Times New Roman" w:cs="Times New Roman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контрольной и экспертно-</w:t>
      </w:r>
      <w:r>
        <w:rPr>
          <w:rFonts w:ascii="Times New Roman" w:hAnsi="Times New Roman" w:cs="Times New Roman"/>
          <w:sz w:val="28"/>
          <w:szCs w:val="28"/>
        </w:rPr>
        <w:t xml:space="preserve">аналитической дея</w:t>
      </w:r>
      <w:r>
        <w:rPr>
          <w:rFonts w:ascii="Times New Roman" w:hAnsi="Times New Roman" w:cs="Times New Roman"/>
          <w:sz w:val="28"/>
          <w:szCs w:val="28"/>
        </w:rPr>
        <w:t xml:space="preserve">тельностью составило</w:t>
      </w:r>
      <w:r>
        <w:rPr>
          <w:rFonts w:ascii="Times New Roman" w:hAnsi="Times New Roman" w:cs="Times New Roman"/>
          <w:sz w:val="28"/>
          <w:szCs w:val="28"/>
        </w:rPr>
        <w:t xml:space="preserve"> 386</w:t>
      </w:r>
      <w:r>
        <w:rPr>
          <w:rFonts w:ascii="Times New Roman" w:hAnsi="Times New Roman" w:cs="Times New Roman"/>
          <w:sz w:val="28"/>
          <w:szCs w:val="28"/>
        </w:rPr>
        <w:t xml:space="preserve">, что меньше</w:t>
      </w:r>
      <w:r>
        <w:rPr>
          <w:rFonts w:ascii="Times New Roman" w:hAnsi="Times New Roman" w:cs="Times New Roman"/>
          <w:sz w:val="28"/>
          <w:szCs w:val="28"/>
        </w:rPr>
        <w:t xml:space="preserve"> ур</w:t>
      </w:r>
      <w:r>
        <w:rPr>
          <w:rFonts w:ascii="Times New Roman" w:hAnsi="Times New Roman" w:cs="Times New Roman"/>
          <w:sz w:val="28"/>
          <w:szCs w:val="28"/>
        </w:rPr>
        <w:t xml:space="preserve">овня</w:t>
      </w:r>
      <w:r>
        <w:rPr>
          <w:rFonts w:ascii="Times New Roman" w:hAnsi="Times New Roman" w:cs="Times New Roman"/>
          <w:sz w:val="28"/>
          <w:szCs w:val="28"/>
        </w:rPr>
        <w:t xml:space="preserve"> 2023</w:t>
      </w:r>
      <w:r>
        <w:rPr>
          <w:rFonts w:ascii="Times New Roman" w:hAnsi="Times New Roman" w:cs="Times New Roman"/>
          <w:sz w:val="28"/>
          <w:szCs w:val="28"/>
        </w:rPr>
        <w:t xml:space="preserve"> года на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19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единиц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(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в 2022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году – 421, в 2023 году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–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405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)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94"/>
        <w:ind w:right="0" w:firstLine="0"/>
        <w:jc w:val="both"/>
        <w:widowControl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целом при </w:t>
      </w:r>
      <w:r>
        <w:rPr>
          <w:rFonts w:ascii="Times New Roman" w:hAnsi="Times New Roman" w:cs="Times New Roman"/>
          <w:sz w:val="28"/>
          <w:szCs w:val="28"/>
        </w:rPr>
        <w:t xml:space="preserve">пр</w:t>
      </w:r>
      <w:r>
        <w:rPr>
          <w:rFonts w:ascii="Times New Roman" w:hAnsi="Times New Roman" w:cs="Times New Roman"/>
          <w:sz w:val="28"/>
          <w:szCs w:val="28"/>
        </w:rPr>
        <w:t xml:space="preserve">оведении мероприятий выя</w:t>
      </w:r>
      <w:r>
        <w:rPr>
          <w:rFonts w:ascii="Times New Roman" w:hAnsi="Times New Roman" w:cs="Times New Roman"/>
          <w:sz w:val="28"/>
          <w:szCs w:val="28"/>
        </w:rPr>
        <w:t xml:space="preserve">влено 104 нарушения</w:t>
      </w:r>
      <w:r>
        <w:rPr>
          <w:rFonts w:ascii="Times New Roman" w:hAnsi="Times New Roman" w:cs="Times New Roman"/>
          <w:sz w:val="28"/>
          <w:szCs w:val="28"/>
        </w:rPr>
        <w:t xml:space="preserve"> на сумму </w:t>
      </w:r>
      <w:r>
        <w:rPr>
          <w:rFonts w:ascii="Times New Roman" w:hAnsi="Times New Roman" w:cs="Times New Roman"/>
          <w:sz w:val="28"/>
          <w:szCs w:val="28"/>
        </w:rPr>
        <w:t xml:space="preserve">3666,7 </w:t>
      </w:r>
      <w:r>
        <w:rPr>
          <w:rFonts w:ascii="Times New Roman" w:hAnsi="Times New Roman" w:cs="Times New Roman"/>
          <w:sz w:val="28"/>
          <w:szCs w:val="28"/>
        </w:rPr>
        <w:t xml:space="preserve">тыс. рублей, что </w:t>
      </w:r>
      <w:r>
        <w:rPr>
          <w:rFonts w:ascii="Times New Roman" w:hAnsi="Times New Roman" w:cs="Times New Roman"/>
          <w:sz w:val="28"/>
          <w:szCs w:val="28"/>
        </w:rPr>
        <w:t xml:space="preserve">на 41</w:t>
      </w:r>
      <w:r>
        <w:rPr>
          <w:rFonts w:ascii="Times New Roman" w:hAnsi="Times New Roman" w:cs="Times New Roman"/>
          <w:sz w:val="28"/>
          <w:szCs w:val="28"/>
        </w:rPr>
        <w:t xml:space="preserve"> нар</w:t>
      </w:r>
      <w:r>
        <w:rPr>
          <w:rFonts w:ascii="Times New Roman" w:hAnsi="Times New Roman" w:cs="Times New Roman"/>
          <w:sz w:val="28"/>
          <w:szCs w:val="28"/>
        </w:rPr>
        <w:t xml:space="preserve">уше</w:t>
      </w:r>
      <w:r>
        <w:rPr>
          <w:rFonts w:ascii="Times New Roman" w:hAnsi="Times New Roman" w:cs="Times New Roman"/>
          <w:sz w:val="28"/>
          <w:szCs w:val="28"/>
        </w:rPr>
        <w:t xml:space="preserve">ние</w:t>
      </w:r>
      <w:r>
        <w:rPr>
          <w:rFonts w:ascii="Times New Roman" w:hAnsi="Times New Roman" w:cs="Times New Roman"/>
          <w:sz w:val="28"/>
          <w:szCs w:val="28"/>
        </w:rPr>
        <w:t xml:space="preserve"> больше уровня </w:t>
      </w:r>
      <w:r>
        <w:rPr>
          <w:rFonts w:ascii="Times New Roman" w:hAnsi="Times New Roman" w:cs="Times New Roman"/>
          <w:sz w:val="28"/>
          <w:szCs w:val="28"/>
        </w:rPr>
        <w:t xml:space="preserve">2023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 xml:space="preserve">а (сумма нарушен</w:t>
      </w:r>
      <w:r>
        <w:rPr>
          <w:rFonts w:ascii="Times New Roman" w:hAnsi="Times New Roman" w:cs="Times New Roman"/>
          <w:sz w:val="28"/>
          <w:szCs w:val="28"/>
        </w:rPr>
        <w:t xml:space="preserve">ий </w:t>
      </w:r>
      <w:r>
        <w:rPr>
          <w:rFonts w:ascii="Times New Roman" w:hAnsi="Times New Roman" w:cs="Times New Roman"/>
          <w:sz w:val="28"/>
          <w:szCs w:val="28"/>
        </w:rPr>
        <w:t xml:space="preserve">уменьшилось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</w:t>
      </w:r>
      <w:r>
        <w:rPr>
          <w:rFonts w:ascii="Times New Roman" w:hAnsi="Times New Roman" w:cs="Times New Roman"/>
          <w:sz w:val="28"/>
          <w:szCs w:val="28"/>
        </w:rPr>
        <w:t xml:space="preserve"> 65503,6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тыс</w:t>
      </w:r>
      <w:r>
        <w:rPr>
          <w:rFonts w:ascii="Times New Roman" w:hAnsi="Times New Roman" w:cs="Times New Roman"/>
          <w:sz w:val="28"/>
          <w:szCs w:val="28"/>
        </w:rPr>
        <w:t xml:space="preserve">.рублей)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Количество выявленных недостатков и прочих нарушений федерального, регионального и муниципа</w:t>
      </w:r>
      <w:r>
        <w:rPr>
          <w:rFonts w:ascii="Times New Roman" w:hAnsi="Times New Roman" w:cs="Times New Roman"/>
          <w:sz w:val="28"/>
          <w:szCs w:val="28"/>
        </w:rPr>
        <w:t xml:space="preserve">льного законодательства</w:t>
      </w:r>
      <w:r>
        <w:rPr>
          <w:rFonts w:ascii="Times New Roman" w:hAnsi="Times New Roman" w:cs="Times New Roman"/>
          <w:sz w:val="28"/>
          <w:szCs w:val="28"/>
        </w:rPr>
        <w:t xml:space="preserve"> уменьшилось</w:t>
      </w:r>
      <w:r>
        <w:rPr>
          <w:rFonts w:ascii="Times New Roman" w:hAnsi="Times New Roman" w:cs="Times New Roman"/>
          <w:sz w:val="28"/>
          <w:szCs w:val="28"/>
        </w:rPr>
        <w:t xml:space="preserve"> по сравнению </w:t>
      </w:r>
      <w:r>
        <w:rPr>
          <w:rFonts w:ascii="Times New Roman" w:hAnsi="Times New Roman" w:cs="Times New Roman"/>
          <w:sz w:val="28"/>
          <w:szCs w:val="28"/>
        </w:rPr>
        <w:t xml:space="preserve">2023</w:t>
      </w:r>
      <w:r>
        <w:rPr>
          <w:rFonts w:ascii="Times New Roman" w:hAnsi="Times New Roman" w:cs="Times New Roman"/>
          <w:sz w:val="28"/>
          <w:szCs w:val="28"/>
        </w:rPr>
        <w:t xml:space="preserve"> годом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84</w:t>
      </w:r>
      <w:r>
        <w:rPr>
          <w:rFonts w:ascii="Times New Roman" w:hAnsi="Times New Roman" w:cs="Times New Roman"/>
          <w:sz w:val="28"/>
          <w:szCs w:val="28"/>
        </w:rPr>
        <w:t xml:space="preserve"> единицы и составило 148 недостатков</w:t>
      </w:r>
      <w:r>
        <w:rPr>
          <w:rFonts w:ascii="Times New Roman" w:hAnsi="Times New Roman" w:cs="Times New Roman"/>
          <w:sz w:val="28"/>
          <w:szCs w:val="28"/>
        </w:rPr>
        <w:t xml:space="preserve"> на сумму 3452,9</w:t>
      </w:r>
      <w:r>
        <w:rPr>
          <w:rFonts w:ascii="Times New Roman" w:hAnsi="Times New Roman" w:cs="Times New Roman"/>
          <w:sz w:val="28"/>
          <w:szCs w:val="28"/>
        </w:rPr>
        <w:t xml:space="preserve"> тыс.рублей (в суммовом выражении рост составил 3447,1 тыс. рублей).</w:t>
      </w:r>
      <w:r>
        <w:rPr>
          <w:rFonts w:ascii="Times New Roman" w:hAnsi="Times New Roman" w:cs="Times New Roman"/>
          <w:sz w:val="28"/>
          <w:szCs w:val="28"/>
        </w:rPr>
        <w:t xml:space="preserve"> Недостатки выявлены при </w:t>
      </w:r>
      <w:r>
        <w:rPr>
          <w:rFonts w:ascii="Times New Roman" w:hAnsi="Times New Roman" w:cs="Times New Roman"/>
          <w:sz w:val="28"/>
          <w:szCs w:val="28"/>
        </w:rPr>
        <w:t xml:space="preserve">внешней проверке бюджетной отчетности ГРБС,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экспертизе проектов решений о внесении изменений в бюджет текущего года, экспертизе отчетов об исполнении бюджета,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экспертизе НПА и проектов постановлений о внесении изменений в муниципальные программы.</w:t>
      </w:r>
      <w:r>
        <w:rPr>
          <w:rFonts w:ascii="Times New Roman" w:hAnsi="Times New Roman" w:cs="Times New Roman"/>
          <w:sz w:val="28"/>
          <w:szCs w:val="28"/>
        </w:rPr>
        <w:t xml:space="preserve"> Увеличение</w:t>
      </w:r>
      <w:r>
        <w:rPr>
          <w:rFonts w:ascii="Times New Roman" w:hAnsi="Times New Roman" w:cs="Times New Roman"/>
          <w:sz w:val="28"/>
          <w:szCs w:val="28"/>
        </w:rPr>
        <w:t xml:space="preserve"> выявляемых нарушений</w:t>
      </w:r>
      <w:r>
        <w:rPr>
          <w:rFonts w:ascii="Times New Roman" w:hAnsi="Times New Roman" w:cs="Times New Roman"/>
          <w:sz w:val="28"/>
          <w:szCs w:val="28"/>
        </w:rPr>
        <w:t xml:space="preserve"> наблюдается при проведении</w:t>
      </w:r>
      <w:r>
        <w:rPr>
          <w:rFonts w:ascii="Times New Roman" w:hAnsi="Times New Roman" w:cs="Times New Roman"/>
          <w:sz w:val="28"/>
          <w:szCs w:val="28"/>
        </w:rPr>
        <w:t xml:space="preserve"> контроль</w:t>
      </w:r>
      <w:r>
        <w:rPr>
          <w:rFonts w:ascii="Times New Roman" w:hAnsi="Times New Roman" w:cs="Times New Roman"/>
          <w:sz w:val="28"/>
          <w:szCs w:val="28"/>
        </w:rPr>
        <w:t xml:space="preserve">ных мероприятий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Сокращение выявляемых нарушений наблюдается при проведении экспертизы годовой бюджетной отчетности.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894"/>
        <w:ind w:right="0" w:firstLine="0"/>
        <w:jc w:val="both"/>
        <w:widowControl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Среднее количество выявленных в ходе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контрольных мероприятий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 1 объект проверки</w:t>
      </w:r>
      <w:r>
        <w:rPr>
          <w:rFonts w:ascii="Times New Roman" w:hAnsi="Times New Roman" w:cs="Times New Roman"/>
          <w:bCs/>
          <w:sz w:val="24"/>
          <w:szCs w:val="24"/>
        </w:rPr>
      </w:r>
      <w:r>
        <w:rPr>
          <w:rFonts w:ascii="Times New Roman" w:hAnsi="Times New Roman" w:cs="Times New Roman"/>
          <w:bCs/>
          <w:sz w:val="24"/>
          <w:szCs w:val="24"/>
        </w:rPr>
      </w:r>
    </w:p>
    <w:p>
      <w:pPr>
        <w:pStyle w:val="894"/>
        <w:ind w:right="0" w:firstLine="567"/>
        <w:jc w:val="both"/>
        <w:widowControl/>
        <w:rPr>
          <w:rFonts w:ascii="Times New Roman" w:hAnsi="Times New Roman" w:cs="Times New Roman"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нарушений – </w:t>
      </w:r>
      <w:r>
        <w:rPr>
          <w:rFonts w:ascii="Times New Roman" w:hAnsi="Times New Roman" w:cs="Times New Roman"/>
          <w:bCs/>
          <w:sz w:val="28"/>
          <w:szCs w:val="28"/>
          <w:highlight w:val="none"/>
        </w:rPr>
        <w:t xml:space="preserve">3,7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  (в 2021 году - 5,5; в 2022 году-1,7; в 2023 году-1,5);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</w:r>
    </w:p>
    <w:p>
      <w:pPr>
        <w:pStyle w:val="894"/>
        <w:ind w:right="0" w:firstLine="567"/>
        <w:jc w:val="both"/>
        <w:widowControl/>
        <w:rPr>
          <w:rFonts w:ascii="Times New Roman" w:hAnsi="Times New Roman" w:cs="Times New Roman"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 недостатков 1,7 ( в 2021 году – 0,3; в 2022 году-2,4; в 2023 году -1,4).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</w:r>
    </w:p>
    <w:p>
      <w:pPr>
        <w:pStyle w:val="894"/>
        <w:ind w:right="0" w:firstLine="0"/>
        <w:jc w:val="both"/>
        <w:widowControl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Среднее количество выявленных в ходе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экспертно-аналитических мероприятий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 1 объект проверки</w: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pStyle w:val="894"/>
        <w:ind w:right="0" w:firstLine="0"/>
        <w:jc w:val="both"/>
        <w:widowControl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нарушений – 0,1 (в 2021 году – 0,5; в 2022 году </w:t>
      </w:r>
      <w:r>
        <w:rPr>
          <w:rFonts w:ascii="Times New Roman" w:hAnsi="Times New Roman" w:cs="Times New Roman"/>
          <w:bCs/>
          <w:sz w:val="28"/>
          <w:szCs w:val="28"/>
        </w:rPr>
        <w:t xml:space="preserve">–</w:t>
      </w:r>
      <w:r>
        <w:rPr>
          <w:rFonts w:ascii="Times New Roman" w:hAnsi="Times New Roman" w:cs="Times New Roman"/>
          <w:bCs/>
          <w:sz w:val="28"/>
          <w:szCs w:val="28"/>
        </w:rPr>
        <w:t xml:space="preserve"> 0,2; в 2023 году </w:t>
      </w:r>
      <w:r>
        <w:rPr>
          <w:rFonts w:ascii="Times New Roman" w:hAnsi="Times New Roman" w:cs="Times New Roman"/>
          <w:bCs/>
          <w:sz w:val="28"/>
          <w:szCs w:val="28"/>
        </w:rPr>
        <w:t xml:space="preserve">–</w:t>
      </w:r>
      <w:r>
        <w:rPr>
          <w:rFonts w:ascii="Times New Roman" w:hAnsi="Times New Roman" w:cs="Times New Roman"/>
          <w:bCs/>
          <w:sz w:val="28"/>
          <w:szCs w:val="28"/>
        </w:rPr>
        <w:t xml:space="preserve"> 0,1),</w: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pStyle w:val="894"/>
        <w:ind w:right="0" w:firstLine="0"/>
        <w:jc w:val="both"/>
        <w:widowControl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недостатков – 0,3 (в 2021 году – 0,2; в 2022 году </w:t>
      </w:r>
      <w:r>
        <w:rPr>
          <w:rFonts w:ascii="Times New Roman" w:hAnsi="Times New Roman" w:cs="Times New Roman"/>
          <w:bCs/>
          <w:sz w:val="28"/>
          <w:szCs w:val="28"/>
        </w:rPr>
        <w:t xml:space="preserve">–</w:t>
      </w:r>
      <w:r>
        <w:rPr>
          <w:rFonts w:ascii="Times New Roman" w:hAnsi="Times New Roman" w:cs="Times New Roman"/>
          <w:bCs/>
          <w:sz w:val="28"/>
          <w:szCs w:val="28"/>
        </w:rPr>
        <w:t xml:space="preserve"> 0,3; в 2023 году </w:t>
      </w:r>
      <w:r>
        <w:rPr>
          <w:rFonts w:ascii="Times New Roman" w:hAnsi="Times New Roman" w:cs="Times New Roman"/>
          <w:bCs/>
          <w:sz w:val="28"/>
          <w:szCs w:val="28"/>
        </w:rPr>
        <w:t xml:space="preserve">–</w:t>
      </w:r>
      <w:r>
        <w:rPr>
          <w:rFonts w:ascii="Times New Roman" w:hAnsi="Times New Roman" w:cs="Times New Roman"/>
          <w:bCs/>
          <w:sz w:val="28"/>
          <w:szCs w:val="28"/>
        </w:rPr>
        <w:t xml:space="preserve"> 0,5).</w: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pStyle w:val="894"/>
        <w:ind w:right="0" w:firstLine="0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94"/>
        <w:ind w:right="0" w:firstLine="0"/>
        <w:jc w:val="both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В среднем, в 2024 году Ревизионная комиссия готовила ежемесячно 32,2 заключения (акта)  (в 2021 году – 32,5; в 2022 году – 32,6; в 2023 году </w:t>
      </w:r>
      <w:r>
        <w:rPr>
          <w:rFonts w:ascii="Times New Roman" w:hAnsi="Times New Roman" w:cs="Times New Roman"/>
          <w:bCs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32,1). На одного специалиста приходится 193 заключения (акта) подготовленных в 2024 году  (в 2021 году – 195,5; в 2022 году – 195,5; в 2023 году </w:t>
      </w:r>
      <w:r>
        <w:rPr>
          <w:rFonts w:ascii="Times New Roman" w:hAnsi="Times New Roman" w:cs="Times New Roman"/>
          <w:bCs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192,5).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94"/>
        <w:ind w:right="0" w:firstLine="0"/>
        <w:jc w:val="both"/>
        <w:widowControl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В</w:t>
      </w:r>
      <w:r>
        <w:rPr>
          <w:rFonts w:ascii="Times New Roman" w:hAnsi="Times New Roman" w:cs="Times New Roman"/>
          <w:sz w:val="28"/>
          <w:szCs w:val="28"/>
        </w:rPr>
        <w:t xml:space="preserve"> отчетном периоде</w:t>
      </w:r>
      <w:r>
        <w:rPr>
          <w:rFonts w:ascii="Times New Roman" w:hAnsi="Times New Roman" w:cs="Times New Roman"/>
          <w:sz w:val="28"/>
          <w:szCs w:val="28"/>
        </w:rPr>
        <w:t xml:space="preserve"> 2024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инициаторами контрольных и экспертно-аналитических мероприятий в соответствии с Планом работы выступили: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894"/>
        <w:ind w:right="0" w:firstLine="0"/>
        <w:jc w:val="both"/>
        <w:widowControl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tbl>
      <w:tblPr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4928"/>
        <w:gridCol w:w="1274"/>
        <w:gridCol w:w="1276"/>
        <w:gridCol w:w="1276"/>
        <w:gridCol w:w="14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4928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both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Инициаторы мероприятий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gridSpan w:val="4"/>
            <w:tcW w:w="5323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Доля инициатив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2024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году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(в % ко всем мероприятиям)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4928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both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gridSpan w:val="2"/>
            <w:tcW w:w="2550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Контрольные мероприятия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gridSpan w:val="2"/>
            <w:tcW w:w="2773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Экспертно-аналитические мероприятия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4928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both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4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Кол-во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доля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Кол-во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497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Доля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4928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both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Руководители Администраций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района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 поселений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4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59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497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16,2 %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4928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both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Представительные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орган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ы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4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14,3 %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198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497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54,2 %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4928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both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Прокуратура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4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497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4928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both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Ревизионная комиссия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4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17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81,0 %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108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497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29,6%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4928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both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Иные инициаторы (КСП ВО, ОМВД России по Вытегорскому району,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обращения граждан,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др.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)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4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4,7 %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</w:p>
        </w:tc>
        <w:tc>
          <w:tcPr>
            <w:tcW w:w="1497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4928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both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всего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4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21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100,0 %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365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497" w:type="dxa"/>
            <w:vAlign w:val="top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100,0 %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</w:tr>
    </w:tbl>
    <w:p>
      <w:pPr>
        <w:pStyle w:val="894"/>
        <w:ind w:right="0" w:firstLine="0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94"/>
        <w:ind w:right="0" w:firstLine="0"/>
        <w:jc w:val="both"/>
        <w:widowControl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В январе 2024</w:t>
      </w:r>
      <w:r>
        <w:rPr>
          <w:rFonts w:ascii="Times New Roman" w:hAnsi="Times New Roman" w:cs="Times New Roman"/>
          <w:sz w:val="28"/>
          <w:szCs w:val="28"/>
        </w:rPr>
        <w:t xml:space="preserve"> года по запросу Контрольно-счетной палаты Вологодской области проведен мониторинг деятельности Ревизионной комиссии</w:t>
      </w:r>
      <w:r>
        <w:rPr>
          <w:rFonts w:ascii="Times New Roman" w:hAnsi="Times New Roman" w:cs="Times New Roman"/>
          <w:sz w:val="28"/>
          <w:szCs w:val="28"/>
        </w:rPr>
        <w:t xml:space="preserve"> ВМР за 2023</w:t>
      </w:r>
      <w:r>
        <w:rPr>
          <w:rFonts w:ascii="Times New Roman" w:hAnsi="Times New Roman" w:cs="Times New Roman"/>
          <w:sz w:val="28"/>
          <w:szCs w:val="28"/>
        </w:rPr>
        <w:t xml:space="preserve"> год. Подготовлен и представлен на рассмотрение депутатов Представительного Собрания Вытегорского муниципального района годовой отчет о работе Ревизионной комиссии ВМ</w:t>
      </w:r>
      <w:r>
        <w:rPr>
          <w:rFonts w:ascii="Times New Roman" w:hAnsi="Times New Roman" w:cs="Times New Roman"/>
          <w:sz w:val="28"/>
          <w:szCs w:val="28"/>
        </w:rPr>
        <w:t xml:space="preserve">Р за 2023 год. </w:t>
      </w:r>
      <w:r>
        <w:rPr>
          <w:rFonts w:ascii="Times New Roman" w:hAnsi="Times New Roman" w:cs="Times New Roman"/>
          <w:sz w:val="28"/>
          <w:szCs w:val="28"/>
        </w:rPr>
        <w:t xml:space="preserve"> Подготовлены и направлены в сельские поселения отчеты о </w:t>
      </w:r>
      <w:r>
        <w:rPr>
          <w:rFonts w:ascii="Times New Roman" w:hAnsi="Times New Roman" w:cs="Times New Roman"/>
          <w:sz w:val="28"/>
          <w:szCs w:val="28"/>
        </w:rPr>
        <w:t xml:space="preserve">проделан</w:t>
      </w:r>
      <w:r>
        <w:rPr>
          <w:rFonts w:ascii="Times New Roman" w:hAnsi="Times New Roman" w:cs="Times New Roman"/>
          <w:sz w:val="28"/>
          <w:szCs w:val="28"/>
        </w:rPr>
        <w:t xml:space="preserve">ной в 2023</w:t>
      </w:r>
      <w:r>
        <w:rPr>
          <w:rFonts w:ascii="Times New Roman" w:hAnsi="Times New Roman" w:cs="Times New Roman"/>
          <w:sz w:val="28"/>
          <w:szCs w:val="28"/>
        </w:rPr>
        <w:t xml:space="preserve"> году работе в рамках заключенных Соглашений. 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894"/>
        <w:ind w:right="0" w:firstLine="0"/>
        <w:jc w:val="both"/>
        <w:widowControl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Отчеты о деятельности Ревизионной комиссии ВМР за 1 квартал, 1 полугодие и 9 месяцев 2024 года направлены в Представительное Собрание ВМР в установленные регламентом сроки.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894"/>
        <w:ind w:right="0" w:firstLine="0"/>
        <w:jc w:val="both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4"/>
        <w:numPr>
          <w:ilvl w:val="0"/>
          <w:numId w:val="2"/>
        </w:numPr>
        <w:ind w:left="0"/>
        <w:jc w:val="center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 xml:space="preserve">Контрольная деятельность</w:t>
      </w:r>
      <w:r>
        <w:rPr>
          <w:b/>
          <w:sz w:val="28"/>
          <w:szCs w:val="28"/>
          <w:highlight w:val="white"/>
        </w:rPr>
      </w:r>
      <w:r>
        <w:rPr>
          <w:b/>
          <w:sz w:val="28"/>
          <w:szCs w:val="28"/>
          <w:highlight w:val="white"/>
        </w:rPr>
      </w:r>
    </w:p>
    <w:p>
      <w:pPr>
        <w:ind w:left="0" w:firstLine="0"/>
        <w:jc w:val="center"/>
        <w:rPr>
          <w:b/>
          <w:bCs/>
          <w:sz w:val="28"/>
          <w:szCs w:val="28"/>
          <w:highlight w:val="white"/>
        </w:rPr>
      </w:pPr>
      <w:r>
        <w:rPr>
          <w:b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pStyle w:val="884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Контрольная деят</w:t>
      </w:r>
      <w:r>
        <w:rPr>
          <w:sz w:val="28"/>
          <w:szCs w:val="28"/>
        </w:rPr>
        <w:t xml:space="preserve">ельность в</w:t>
      </w:r>
      <w:r>
        <w:rPr>
          <w:sz w:val="28"/>
          <w:szCs w:val="28"/>
        </w:rPr>
        <w:t xml:space="preserve"> отчетном периоде 2024</w:t>
      </w:r>
      <w:r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осуществляется</w:t>
      </w:r>
      <w:r>
        <w:rPr>
          <w:sz w:val="28"/>
          <w:szCs w:val="28"/>
        </w:rPr>
        <w:t xml:space="preserve"> в соответствии с Положе</w:t>
      </w:r>
      <w:r>
        <w:rPr>
          <w:sz w:val="28"/>
          <w:szCs w:val="28"/>
        </w:rPr>
        <w:t xml:space="preserve">нием о Ревизионной комиссии</w:t>
      </w:r>
      <w:r>
        <w:rPr>
          <w:sz w:val="28"/>
          <w:szCs w:val="28"/>
        </w:rPr>
        <w:t xml:space="preserve"> ВМР, Планом работы </w:t>
      </w:r>
      <w:r>
        <w:rPr>
          <w:sz w:val="28"/>
          <w:szCs w:val="28"/>
        </w:rPr>
        <w:t xml:space="preserve">на 2024</w:t>
      </w:r>
      <w:r>
        <w:rPr>
          <w:sz w:val="28"/>
          <w:szCs w:val="28"/>
        </w:rPr>
        <w:t xml:space="preserve"> год, Регламентом Ревизионной комиссии Вытег</w:t>
      </w:r>
      <w:r>
        <w:rPr>
          <w:sz w:val="28"/>
          <w:szCs w:val="28"/>
        </w:rPr>
        <w:t xml:space="preserve">орского муниципального района, </w:t>
      </w:r>
      <w:r>
        <w:rPr>
          <w:sz w:val="28"/>
          <w:szCs w:val="28"/>
        </w:rPr>
        <w:t xml:space="preserve">утвержденным распоряжением Председателя Представительного Собрания Вытегорского муниципального района № 7 от 20.01.2014 года. При проведении контрольных мероприятий Ревизио</w:t>
      </w:r>
      <w:r>
        <w:rPr>
          <w:sz w:val="28"/>
          <w:szCs w:val="28"/>
        </w:rPr>
        <w:t xml:space="preserve">нная комиссия руководствовалась</w:t>
      </w:r>
      <w:r>
        <w:rPr>
          <w:sz w:val="28"/>
          <w:szCs w:val="28"/>
        </w:rPr>
        <w:t xml:space="preserve"> приказом</w:t>
      </w:r>
      <w:r>
        <w:rPr>
          <w:sz w:val="28"/>
          <w:szCs w:val="28"/>
        </w:rPr>
        <w:t xml:space="preserve"> Председателя Ревизионной комиссии № 13 от 01.07.2014 года «Об утверждении стандарта внешнего муниципального финансового контроля»</w:t>
      </w:r>
      <w:r>
        <w:rPr>
          <w:sz w:val="28"/>
          <w:szCs w:val="28"/>
        </w:rPr>
        <w:t xml:space="preserve">.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В течение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отчетног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 периода 2024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года в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годовой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План проверок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внесено изменение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, дополнено 1 контрольное мероприятие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«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Проверка использования субсидий и иных межбюджетных трансфертов,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предоставленных Кадуйскому, Тарногскому муниципальным округам и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Вытегорскому муниципальному району в рамках подпрограммы «Сохранение и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развитие культурного потенциала, документального наследия Вологодской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области» государственной программы «Развитие культуры, туризма и архивного дела Вологодской области на 2021-2025 годы» в 2023 году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(совместно с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Контрольно-счетной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палатой Вологодской области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»</w:t>
      </w:r>
      <w:r>
        <w:t xml:space="preserve"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Style w:val="884"/>
        <w:jc w:val="both"/>
        <w:tabs>
          <w:tab w:val="left" w:pos="567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Всего 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2024</w:t>
      </w:r>
      <w:r>
        <w:rPr>
          <w:sz w:val="28"/>
          <w:szCs w:val="28"/>
        </w:rPr>
        <w:t xml:space="preserve"> году</w:t>
      </w:r>
      <w:r>
        <w:rPr>
          <w:sz w:val="28"/>
          <w:szCs w:val="28"/>
        </w:rPr>
        <w:t xml:space="preserve"> проведено 17 контрольных мероприятий, которыми охвачено 21 объект проверок. Объектами проверок являлись органы местного самоуправления и подведомственные им учреждения.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tabs>
          <w:tab w:val="left" w:pos="567" w:leader="none"/>
        </w:tabs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</w:rPr>
        <w:t xml:space="preserve">       Краткая информация о результатах контрольных мероприятий, проведенных Ревизионной комиссией ВМР приведена в Приложении  к настоящему отчету.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tabs>
          <w:tab w:val="left" w:pos="0" w:leader="none"/>
        </w:tabs>
        <w:rPr>
          <w:bCs/>
        </w:rPr>
      </w:pPr>
      <w:r>
        <w:rPr>
          <w:b w:val="0"/>
          <w:bCs w:val="0"/>
          <w:sz w:val="28"/>
          <w:szCs w:val="28"/>
          <w:u w:val="none"/>
        </w:rPr>
        <w:t xml:space="preserve">      </w:t>
      </w:r>
      <w:r>
        <w:rPr>
          <w:sz w:val="28"/>
          <w:szCs w:val="28"/>
        </w:rPr>
        <w:t xml:space="preserve">Анализ нарушений, </w:t>
      </w:r>
      <w:r>
        <w:rPr>
          <w:sz w:val="28"/>
          <w:szCs w:val="28"/>
        </w:rPr>
        <w:t xml:space="preserve">выявленных </w:t>
      </w:r>
      <w:r>
        <w:rPr>
          <w:sz w:val="28"/>
          <w:szCs w:val="28"/>
        </w:rPr>
        <w:t xml:space="preserve">по результатам контрольных мероприятий </w:t>
      </w:r>
      <w:r>
        <w:rPr>
          <w:sz w:val="28"/>
          <w:szCs w:val="28"/>
        </w:rPr>
        <w:t xml:space="preserve">за </w:t>
      </w:r>
      <w:r>
        <w:rPr>
          <w:sz w:val="28"/>
          <w:szCs w:val="28"/>
        </w:rPr>
        <w:t xml:space="preserve"> 2024</w:t>
      </w:r>
      <w:r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представлен в таблице:</w:t>
      </w:r>
      <w:r>
        <w:rPr>
          <w:bCs/>
        </w:rPr>
      </w:r>
      <w:r>
        <w:rPr>
          <w:bCs/>
        </w:rPr>
      </w:r>
    </w:p>
    <w:p>
      <w:pPr>
        <w:pStyle w:val="884"/>
        <w:jc w:val="right"/>
        <w:tabs>
          <w:tab w:val="left" w:pos="567" w:leader="none"/>
        </w:tabs>
      </w:pPr>
      <w:r>
        <w:t xml:space="preserve">Таблица</w:t>
      </w:r>
      <w:r/>
    </w:p>
    <w:tbl>
      <w:tblPr>
        <w:tblW w:w="10065" w:type="dxa"/>
        <w:tblInd w:w="108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5954"/>
        <w:gridCol w:w="1134"/>
        <w:gridCol w:w="1276"/>
        <w:gridCol w:w="1701"/>
      </w:tblGrid>
      <w:tr>
        <w:tblPrEx/>
        <w:trPr>
          <w:trHeight w:val="66"/>
        </w:trPr>
        <w:tc>
          <w:tcPr>
            <w:tcBorders>
              <w:top w:val="single" w:color="000000" w:sz="4" w:space="0"/>
              <w:left w:val="single" w:color="000000" w:sz="4" w:space="0"/>
              <w:bottom w:val="none" w:color="FFFFFF" w:sz="255" w:space="0"/>
              <w:right w:val="single" w:color="000000" w:sz="4" w:space="0"/>
            </w:tcBorders>
            <w:tcW w:w="5954" w:type="dxa"/>
            <w:vAlign w:val="center"/>
            <w:textDirection w:val="lrTb"/>
            <w:noWrap w:val="false"/>
          </w:tcPr>
          <w:p>
            <w:pPr>
              <w:pStyle w:val="88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 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none" w:color="FFFFFF" w:sz="255" w:space="0"/>
              <w:right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88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 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7" w:type="dxa"/>
            <w:vAlign w:val="center"/>
            <w:vMerge w:val="restart"/>
            <w:textDirection w:val="lrTb"/>
            <w:noWrap w:val="false"/>
          </w:tcPr>
          <w:p>
            <w:pPr>
              <w:pStyle w:val="88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Предложено к устранению финансовых нарушений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trHeight w:val="516"/>
        </w:trPr>
        <w:tc>
          <w:tcPr>
            <w:tcBorders>
              <w:top w:val="none" w:color="FFFFFF" w:sz="255" w:space="0"/>
              <w:left w:val="single" w:color="000000" w:sz="4" w:space="0"/>
              <w:bottom w:val="none" w:color="FFFFFF" w:sz="255" w:space="0"/>
              <w:right w:val="single" w:color="000000" w:sz="4" w:space="0"/>
            </w:tcBorders>
            <w:tcW w:w="5954" w:type="dxa"/>
            <w:vAlign w:val="center"/>
            <w:textDirection w:val="lrTb"/>
            <w:noWrap w:val="false"/>
          </w:tcPr>
          <w:p>
            <w:pPr>
              <w:pStyle w:val="88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Нарушения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88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Выявлено финансовых нарушений (кол./ сумма)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977" w:type="dxa"/>
            <w:vAlign w:val="center"/>
            <w:vMerge w:val="continue"/>
            <w:textDirection w:val="lrTb"/>
            <w:noWrap w:val="false"/>
          </w:tcPr>
          <w:p>
            <w:pPr>
              <w:pStyle w:val="88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trHeight w:val="943"/>
        </w:trPr>
        <w:tc>
          <w:tcPr>
            <w:tcBorders>
              <w:top w:val="none" w:color="FFFFFF" w:sz="255" w:space="0"/>
              <w:left w:val="single" w:color="000000" w:sz="4" w:space="0"/>
              <w:bottom w:val="none" w:color="FFFFFF" w:sz="255" w:space="0"/>
              <w:right w:val="single" w:color="000000" w:sz="4" w:space="0"/>
            </w:tcBorders>
            <w:tcW w:w="5954" w:type="dxa"/>
            <w:vAlign w:val="center"/>
            <w:textDirection w:val="lrTb"/>
            <w:noWrap w:val="false"/>
          </w:tcPr>
          <w:p>
            <w:pPr>
              <w:pStyle w:val="88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none" w:color="FFFFFF" w:sz="255" w:space="0"/>
              <w:right w:val="single" w:color="000000" w:sz="4" w:space="0"/>
            </w:tcBorders>
            <w:tcW w:w="1134" w:type="dxa"/>
            <w:vAlign w:val="top"/>
            <w:textDirection w:val="lrTb"/>
            <w:noWrap w:val="false"/>
          </w:tcPr>
          <w:p>
            <w:pPr>
              <w:pStyle w:val="88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none" w:color="FFFFFF" w:sz="255" w:space="0"/>
              <w:right w:val="single" w:color="000000" w:sz="4" w:space="0"/>
            </w:tcBorders>
            <w:tcW w:w="1276" w:type="dxa"/>
            <w:vAlign w:val="top"/>
            <w:textDirection w:val="lrTb"/>
            <w:noWrap w:val="false"/>
          </w:tcPr>
          <w:p>
            <w:pPr>
              <w:pStyle w:val="88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Всего (кол./сумма)</w:t>
            </w:r>
            <w:r>
              <w:rPr>
                <w:sz w:val="16"/>
                <w:szCs w:val="16"/>
              </w:rPr>
              <w:t xml:space="preserve"> 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top"/>
            <w:vMerge w:val="restart"/>
            <w:textDirection w:val="lrTb"/>
            <w:noWrap w:val="false"/>
          </w:tcPr>
          <w:p>
            <w:pPr>
              <w:pStyle w:val="88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 том числе, к восстановлению в бюджет (кол./ сумма)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trHeight w:val="79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54" w:type="dxa"/>
            <w:vAlign w:val="top"/>
            <w:textDirection w:val="lrTb"/>
            <w:noWrap w:val="false"/>
          </w:tcPr>
          <w:p>
            <w:pPr>
              <w:pStyle w:val="88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134" w:type="dxa"/>
            <w:vAlign w:val="top"/>
            <w:textDirection w:val="lrTb"/>
            <w:noWrap w:val="false"/>
          </w:tcPr>
          <w:p>
            <w:pPr>
              <w:pStyle w:val="88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88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pStyle w:val="88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trHeight w:val="282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54" w:type="dxa"/>
            <w:vAlign w:val="center"/>
            <w:textDirection w:val="lrTb"/>
            <w:noWrap w:val="false"/>
          </w:tcPr>
          <w:p>
            <w:pPr>
              <w:pStyle w:val="884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 формировании и исполнении бюджетов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884"/>
              <w:jc w:val="center"/>
              <w:shd w:val="clear" w:color="auto" w:fill="ffffff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 xml:space="preserve">14/</w:t>
            </w:r>
            <w:r>
              <w:rPr>
                <w:rFonts w:eastAsia="Times New Roman"/>
                <w:sz w:val="16"/>
                <w:szCs w:val="16"/>
              </w:rPr>
              <w:t xml:space="preserve">243,0</w:t>
            </w:r>
            <w:r>
              <w:rPr>
                <w:rFonts w:eastAsia="Times New Roman"/>
                <w:sz w:val="16"/>
                <w:szCs w:val="16"/>
              </w:rPr>
            </w:r>
            <w:r>
              <w:rPr>
                <w:rFonts w:eastAsia="Times New Roman"/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884"/>
              <w:jc w:val="center"/>
              <w:shd w:val="clear" w:color="auto" w:fill="ffffff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 xml:space="preserve">14/</w:t>
            </w:r>
            <w:r>
              <w:rPr>
                <w:rFonts w:eastAsia="Times New Roman"/>
                <w:sz w:val="16"/>
                <w:szCs w:val="16"/>
              </w:rPr>
              <w:t xml:space="preserve">243,0</w:t>
            </w:r>
            <w:r>
              <w:rPr>
                <w:rFonts w:eastAsia="Times New Roman"/>
                <w:sz w:val="16"/>
                <w:szCs w:val="16"/>
              </w:rPr>
            </w:r>
            <w:r>
              <w:rPr>
                <w:rFonts w:eastAsia="Times New Roman"/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r/>
            <w:r/>
          </w:p>
        </w:tc>
      </w:tr>
      <w:tr>
        <w:tblPrEx/>
        <w:trPr>
          <w:trHeight w:val="282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54" w:type="dxa"/>
            <w:vAlign w:val="center"/>
            <w:textDirection w:val="lrTb"/>
            <w:noWrap w:val="false"/>
          </w:tcPr>
          <w:p>
            <w:pPr>
              <w:pStyle w:val="884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Нецелевое использование бюджетных средств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88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88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88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trHeight w:val="399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54" w:type="dxa"/>
            <w:vAlign w:val="center"/>
            <w:textDirection w:val="lrTb"/>
            <w:noWrap w:val="false"/>
          </w:tcPr>
          <w:p>
            <w:pPr>
              <w:pStyle w:val="884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Несоответствие принципу результативности и эффективности использования бюджетных средств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88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88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88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trHeight w:val="358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54" w:type="dxa"/>
            <w:vAlign w:val="center"/>
            <w:textDirection w:val="lrTb"/>
            <w:noWrap w:val="false"/>
          </w:tcPr>
          <w:p>
            <w:pPr>
              <w:pStyle w:val="884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 области государственной (муниципальной) собственности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884"/>
              <w:jc w:val="center"/>
              <w:shd w:val="clear" w:color="auto" w:fill="ffffff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 xml:space="preserve">14/1700,7</w:t>
            </w:r>
            <w:r>
              <w:rPr>
                <w:rFonts w:eastAsia="Times New Roman"/>
                <w:sz w:val="16"/>
                <w:szCs w:val="16"/>
              </w:rPr>
            </w:r>
            <w:r>
              <w:rPr>
                <w:rFonts w:eastAsia="Times New Roman"/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884"/>
              <w:jc w:val="center"/>
              <w:shd w:val="clear" w:color="auto" w:fill="ffffff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 xml:space="preserve">14/1700,7</w:t>
            </w:r>
            <w:r>
              <w:rPr>
                <w:rFonts w:eastAsia="Times New Roman"/>
                <w:sz w:val="16"/>
                <w:szCs w:val="16"/>
              </w:rPr>
            </w:r>
            <w:r>
              <w:rPr>
                <w:rFonts w:eastAsia="Times New Roman"/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r/>
            <w:r/>
          </w:p>
        </w:tc>
      </w:tr>
      <w:tr>
        <w:tblPrEx/>
        <w:trPr>
          <w:trHeight w:val="258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54" w:type="dxa"/>
            <w:vAlign w:val="center"/>
            <w:textDirection w:val="lrTb"/>
            <w:noWrap w:val="false"/>
          </w:tcPr>
          <w:p>
            <w:pPr>
              <w:pStyle w:val="884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 осуществлении государственных (муниципальных) закупок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88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18/304,0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88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7/304,0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7/304,0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trHeight w:val="317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54" w:type="dxa"/>
            <w:vAlign w:val="center"/>
            <w:textDirection w:val="lrTb"/>
            <w:noWrap w:val="false"/>
          </w:tcPr>
          <w:p>
            <w:pPr>
              <w:pStyle w:val="884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 ведении бухгалтерского учета и составлении отчетности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884"/>
              <w:jc w:val="center"/>
              <w:shd w:val="clear" w:color="auto" w:fill="ffffff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 xml:space="preserve">17/1413,2</w:t>
            </w:r>
            <w:r>
              <w:rPr>
                <w:rFonts w:eastAsia="Times New Roman"/>
                <w:sz w:val="16"/>
                <w:szCs w:val="16"/>
              </w:rPr>
            </w:r>
            <w:r>
              <w:rPr>
                <w:rFonts w:eastAsia="Times New Roman"/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884"/>
              <w:jc w:val="center"/>
              <w:shd w:val="clear" w:color="auto" w:fill="ffffff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 xml:space="preserve">17/1413,2</w:t>
            </w:r>
            <w:r>
              <w:rPr>
                <w:rFonts w:eastAsia="Times New Roman"/>
                <w:sz w:val="16"/>
                <w:szCs w:val="16"/>
              </w:rPr>
            </w:r>
            <w:r>
              <w:rPr>
                <w:rFonts w:eastAsia="Times New Roman"/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r/>
            <w:r/>
          </w:p>
        </w:tc>
      </w:tr>
      <w:tr>
        <w:tblPrEx/>
        <w:trPr>
          <w:trHeight w:val="512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54" w:type="dxa"/>
            <w:vAlign w:val="center"/>
            <w:vMerge w:val="restart"/>
            <w:textDirection w:val="lrTb"/>
            <w:noWrap w:val="false"/>
          </w:tcPr>
          <w:p>
            <w:pPr>
              <w:pStyle w:val="884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Прочие виды нарушений и недостатков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18/14,8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r/>
            <w:r/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10/9,0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r/>
            <w:r/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884"/>
              <w:ind w:left="709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trHeight w:val="282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54" w:type="dxa"/>
            <w:vAlign w:val="center"/>
            <w:textDirection w:val="lrTb"/>
            <w:noWrap w:val="false"/>
          </w:tcPr>
          <w:p>
            <w:pPr>
              <w:pStyle w:val="884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ВСЕГО</w:t>
            </w:r>
            <w:r>
              <w:rPr>
                <w:b/>
                <w:bCs/>
                <w:sz w:val="16"/>
                <w:szCs w:val="16"/>
              </w:rPr>
            </w:r>
            <w:r>
              <w:rPr>
                <w:b/>
                <w:bCs/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884"/>
              <w:jc w:val="center"/>
              <w:shd w:val="clear" w:color="auto" w:fill="ffffff"/>
              <w:rPr>
                <w:rFonts w:eastAsia="Times New Roman"/>
                <w:b/>
                <w:bCs/>
                <w:sz w:val="16"/>
                <w:szCs w:val="16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 xml:space="preserve">81/</w:t>
            </w:r>
            <w:r>
              <w:rPr>
                <w:rFonts w:eastAsia="Times New Roman"/>
                <w:b/>
                <w:bCs/>
                <w:sz w:val="16"/>
                <w:szCs w:val="16"/>
              </w:rPr>
              <w:t xml:space="preserve">3675,7</w:t>
            </w:r>
            <w:r>
              <w:rPr>
                <w:rFonts w:eastAsia="Times New Roman"/>
                <w:b/>
                <w:bCs/>
                <w:sz w:val="16"/>
                <w:szCs w:val="16"/>
              </w:rPr>
            </w:r>
            <w:r>
              <w:rPr>
                <w:rFonts w:eastAsia="Times New Roman"/>
                <w:b/>
                <w:bCs/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884"/>
              <w:jc w:val="center"/>
              <w:shd w:val="clear" w:color="auto" w:fill="ffffff"/>
              <w:rPr>
                <w:rFonts w:eastAsia="Times New Roman"/>
                <w:b/>
                <w:bCs/>
                <w:sz w:val="16"/>
                <w:szCs w:val="16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 xml:space="preserve">62/</w:t>
            </w:r>
            <w:r>
              <w:rPr>
                <w:rFonts w:eastAsia="Times New Roman"/>
                <w:b/>
                <w:bCs/>
                <w:sz w:val="16"/>
                <w:szCs w:val="16"/>
              </w:rPr>
              <w:t xml:space="preserve">3660,9</w:t>
            </w:r>
            <w:r>
              <w:rPr>
                <w:rFonts w:eastAsia="Times New Roman"/>
                <w:b/>
                <w:bCs/>
                <w:sz w:val="16"/>
                <w:szCs w:val="16"/>
              </w:rPr>
            </w:r>
            <w:r>
              <w:rPr>
                <w:rFonts w:eastAsia="Times New Roman"/>
                <w:b/>
                <w:bCs/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7/304,0</w:t>
            </w:r>
            <w:r>
              <w:rPr>
                <w:b/>
                <w:bCs/>
                <w:sz w:val="16"/>
                <w:szCs w:val="16"/>
              </w:rPr>
            </w:r>
            <w:r>
              <w:rPr>
                <w:b/>
                <w:bCs/>
                <w:sz w:val="16"/>
                <w:szCs w:val="16"/>
              </w:rPr>
            </w:r>
          </w:p>
        </w:tc>
      </w:tr>
      <w:tr>
        <w:tblPrEx/>
        <w:trPr>
          <w:trHeight w:val="282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54" w:type="dxa"/>
            <w:vAlign w:val="center"/>
            <w:textDirection w:val="lrTb"/>
            <w:noWrap w:val="false"/>
          </w:tcPr>
          <w:p>
            <w:pPr>
              <w:pStyle w:val="884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Сумма проверенных средств</w:t>
            </w:r>
            <w:r>
              <w:rPr>
                <w:b/>
                <w:bCs/>
                <w:sz w:val="16"/>
                <w:szCs w:val="16"/>
              </w:rPr>
            </w:r>
            <w:r>
              <w:rPr>
                <w:b/>
                <w:bCs/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437620,5</w:t>
            </w:r>
            <w:r>
              <w:rPr>
                <w:b/>
                <w:bCs/>
                <w:sz w:val="16"/>
                <w:szCs w:val="16"/>
              </w:rPr>
            </w:r>
            <w:r>
              <w:rPr>
                <w:b/>
                <w:bCs/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r/>
            <w:r/>
          </w:p>
        </w:tc>
      </w:tr>
      <w:tr>
        <w:tblPrEx/>
        <w:trPr>
          <w:trHeight w:val="282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54" w:type="dxa"/>
            <w:vAlign w:val="center"/>
            <w:textDirection w:val="lrTb"/>
            <w:noWrap w:val="false"/>
          </w:tcPr>
          <w:p>
            <w:pPr>
              <w:pStyle w:val="884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Доля выявленных нарушений в общей сумме проверенных средств</w:t>
            </w:r>
            <w:r>
              <w:rPr>
                <w:b/>
                <w:bCs/>
                <w:sz w:val="16"/>
                <w:szCs w:val="16"/>
              </w:rPr>
            </w:r>
            <w:r>
              <w:rPr>
                <w:b/>
                <w:bCs/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0,1</w:t>
            </w:r>
            <w:r>
              <w:rPr>
                <w:b/>
                <w:bCs/>
                <w:sz w:val="16"/>
                <w:szCs w:val="16"/>
              </w:rPr>
            </w:r>
            <w:r>
              <w:rPr>
                <w:b/>
                <w:bCs/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r/>
            <w:r/>
          </w:p>
        </w:tc>
      </w:tr>
      <w:tr>
        <w:tblPrEx/>
        <w:trPr>
          <w:trHeight w:val="2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54" w:type="dxa"/>
            <w:vAlign w:val="center"/>
            <w:textDirection w:val="lrTb"/>
            <w:noWrap w:val="false"/>
          </w:tcPr>
          <w:p>
            <w:pPr>
              <w:pStyle w:val="884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Составлено</w:t>
            </w:r>
            <w:r>
              <w:rPr>
                <w:b/>
                <w:bCs/>
                <w:sz w:val="16"/>
                <w:szCs w:val="16"/>
              </w:rPr>
              <w:t xml:space="preserve"> Ревизионной комиссией ВМР</w:t>
            </w:r>
            <w:r>
              <w:rPr>
                <w:b/>
                <w:bCs/>
                <w:sz w:val="16"/>
                <w:szCs w:val="16"/>
              </w:rPr>
              <w:t xml:space="preserve"> протоколов об административном правонарушении</w:t>
            </w:r>
            <w:r>
              <w:rPr>
                <w:b/>
                <w:bCs/>
                <w:sz w:val="16"/>
                <w:szCs w:val="16"/>
              </w:rPr>
            </w:r>
            <w:r>
              <w:rPr>
                <w:b/>
                <w:bCs/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-</w:t>
            </w:r>
            <w:r>
              <w:rPr>
                <w:b/>
                <w:bCs/>
                <w:sz w:val="16"/>
                <w:szCs w:val="16"/>
              </w:rPr>
            </w:r>
            <w:r>
              <w:rPr>
                <w:b/>
                <w:bCs/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88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trHeight w:val="2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54" w:type="dxa"/>
            <w:vAlign w:val="center"/>
            <w:textDirection w:val="lrTb"/>
            <w:noWrap w:val="false"/>
          </w:tcPr>
          <w:p>
            <w:pPr>
              <w:pStyle w:val="884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Выдано представлений</w:t>
            </w:r>
            <w:r>
              <w:rPr>
                <w:b/>
                <w:bCs/>
                <w:sz w:val="16"/>
                <w:szCs w:val="16"/>
              </w:rPr>
            </w:r>
            <w:r>
              <w:rPr>
                <w:b/>
                <w:bCs/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6</w:t>
            </w:r>
            <w:r>
              <w:rPr>
                <w:b/>
                <w:bCs/>
                <w:sz w:val="16"/>
                <w:szCs w:val="16"/>
              </w:rPr>
            </w:r>
            <w:r>
              <w:rPr>
                <w:b/>
                <w:bCs/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88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</w:tbl>
    <w:p>
      <w:pPr>
        <w:jc w:val="center"/>
        <w:tabs>
          <w:tab w:val="left" w:pos="567" w:leader="none"/>
        </w:tabs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     Сравнительный анализ  количества основных видов нарушений и недостатков, выявленных при проведении контрольных мероприятий в 2022 - 2024 годах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tbl>
      <w:tblPr>
        <w:tblW w:w="1017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1276"/>
        <w:gridCol w:w="1276"/>
        <w:gridCol w:w="1417"/>
        <w:gridCol w:w="1418"/>
      </w:tblGrid>
      <w:tr>
        <w:tblPrEx/>
        <w:trPr/>
        <w:tc>
          <w:tcPr>
            <w:tcW w:w="4786" w:type="dxa"/>
            <w:textDirection w:val="lrTb"/>
            <w:noWrap w:val="false"/>
          </w:tcPr>
          <w:p>
            <w:pPr>
              <w:pStyle w:val="894"/>
              <w:ind w:right="0" w:firstLine="0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Виды нарушений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Кол-во выявленных нарушений 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 2022 г.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Кол-во выявленных нарушений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в 2023 г.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Кол-во выявленных нарушений в 2024 г.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418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Рост (снижение) по сравнению с 2023 г.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</w:tr>
      <w:tr>
        <w:tblPrEx/>
        <w:trPr/>
        <w:tc>
          <w:tcPr>
            <w:tcW w:w="4786" w:type="dxa"/>
            <w:textDirection w:val="lrTb"/>
            <w:noWrap w:val="false"/>
          </w:tcPr>
          <w:p>
            <w:pPr>
              <w:pStyle w:val="894"/>
              <w:ind w:right="0" w:firstLine="0"/>
              <w:widowControl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Нарушений   - всего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32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22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67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</w:p>
        </w:tc>
        <w:tc>
          <w:tcPr>
            <w:tcW w:w="1418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+45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</w:p>
        </w:tc>
      </w:tr>
      <w:tr>
        <w:tblPrEx/>
        <w:trPr/>
        <w:tc>
          <w:tcPr>
            <w:tcW w:w="4786" w:type="dxa"/>
            <w:textDirection w:val="lrTb"/>
            <w:noWrap w:val="false"/>
          </w:tcPr>
          <w:p>
            <w:pPr>
              <w:pStyle w:val="894"/>
              <w:ind w:right="0" w:firstLine="0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из них: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418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</w:tr>
      <w:tr>
        <w:tblPrEx/>
        <w:trPr/>
        <w:tc>
          <w:tcPr>
            <w:tcW w:w="4786" w:type="dxa"/>
            <w:textDirection w:val="lrTb"/>
            <w:noWrap w:val="false"/>
          </w:tcPr>
          <w:p>
            <w:pPr>
              <w:pStyle w:val="894"/>
              <w:ind w:right="0" w:firstLine="0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-при формировании и исполнении бюджетов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4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14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418" w:type="dxa"/>
            <w:textDirection w:val="lrTb"/>
            <w:noWrap w:val="false"/>
          </w:tcPr>
          <w:p>
            <w:pPr>
              <w:pStyle w:val="894"/>
              <w:ind w:right="0" w:firstLine="0"/>
              <w:jc w:val="left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+12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</w:tr>
      <w:tr>
        <w:tblPrEx/>
        <w:trPr>
          <w:trHeight w:val="211"/>
        </w:trPr>
        <w:tc>
          <w:tcPr>
            <w:tcW w:w="4786" w:type="dxa"/>
            <w:textDirection w:val="lrTb"/>
            <w:noWrap w:val="false"/>
          </w:tcPr>
          <w:p>
            <w:pPr>
              <w:pStyle w:val="894"/>
              <w:ind w:right="0" w:firstLine="0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-нецелевое использование средств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418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0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</w:tr>
      <w:tr>
        <w:tblPrEx/>
        <w:trPr/>
        <w:tc>
          <w:tcPr>
            <w:tcW w:w="4786" w:type="dxa"/>
            <w:textDirection w:val="lrTb"/>
            <w:noWrap w:val="false"/>
          </w:tcPr>
          <w:p>
            <w:pPr>
              <w:pStyle w:val="894"/>
              <w:ind w:right="0" w:firstLine="0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- в области муниципальной собственности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9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14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418" w:type="dxa"/>
            <w:textDirection w:val="lrTb"/>
            <w:noWrap w:val="false"/>
          </w:tcPr>
          <w:p>
            <w:pPr>
              <w:pStyle w:val="894"/>
              <w:ind w:right="0" w:firstLine="0"/>
              <w:jc w:val="left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+14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</w:tr>
      <w:tr>
        <w:tblPrEx/>
        <w:trPr/>
        <w:tc>
          <w:tcPr>
            <w:tcW w:w="4786" w:type="dxa"/>
            <w:textDirection w:val="lrTb"/>
            <w:noWrap w:val="false"/>
          </w:tcPr>
          <w:p>
            <w:pPr>
              <w:pStyle w:val="894"/>
              <w:ind w:right="0" w:firstLine="0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- области осуществления муниципальных закупок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16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18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418" w:type="dxa"/>
            <w:textDirection w:val="lrTb"/>
            <w:noWrap w:val="false"/>
          </w:tcPr>
          <w:p>
            <w:pPr>
              <w:pStyle w:val="894"/>
              <w:ind w:right="0" w:firstLine="0"/>
              <w:jc w:val="left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-2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</w:tr>
      <w:tr>
        <w:tblPrEx/>
        <w:trPr/>
        <w:tc>
          <w:tcPr>
            <w:tcW w:w="4786" w:type="dxa"/>
            <w:textDirection w:val="lrTb"/>
            <w:noWrap w:val="false"/>
          </w:tcPr>
          <w:p>
            <w:pPr>
              <w:pStyle w:val="894"/>
              <w:ind w:right="0" w:firstLine="0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-при ведении бухгалтерского учета и составления отчетности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17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418" w:type="dxa"/>
            <w:textDirection w:val="lrTb"/>
            <w:noWrap w:val="false"/>
          </w:tcPr>
          <w:p>
            <w:pPr>
              <w:pStyle w:val="894"/>
              <w:ind w:right="0" w:firstLine="0"/>
              <w:jc w:val="left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+17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</w:tr>
      <w:tr>
        <w:tblPrEx/>
        <w:trPr/>
        <w:tc>
          <w:tcPr>
            <w:tcW w:w="4786" w:type="dxa"/>
            <w:vMerge w:val="restart"/>
            <w:textDirection w:val="lrTb"/>
            <w:noWrap w:val="false"/>
          </w:tcPr>
          <w:p>
            <w:pPr>
              <w:pStyle w:val="894"/>
              <w:ind w:right="0" w:firstLine="0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-прочие нарушения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4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418" w:type="dxa"/>
            <w:vMerge w:val="restart"/>
            <w:textDirection w:val="lrTb"/>
            <w:noWrap w:val="false"/>
          </w:tcPr>
          <w:p>
            <w:pPr>
              <w:pStyle w:val="894"/>
              <w:ind w:right="0" w:firstLine="0"/>
              <w:jc w:val="left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+4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</w:tr>
      <w:tr>
        <w:tblPrEx/>
        <w:trPr/>
        <w:tc>
          <w:tcPr>
            <w:tcW w:w="4786" w:type="dxa"/>
            <w:textDirection w:val="lrTb"/>
            <w:noWrap w:val="false"/>
          </w:tcPr>
          <w:p>
            <w:pPr>
              <w:pStyle w:val="894"/>
              <w:ind w:right="0" w:firstLine="0"/>
              <w:widowControl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Выявлено недостатков –всего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</w:p>
          <w:p>
            <w:pPr>
              <w:pStyle w:val="894"/>
              <w:ind w:right="0" w:firstLine="0"/>
              <w:widowControl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в том числе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22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29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14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</w:p>
        </w:tc>
        <w:tc>
          <w:tcPr>
            <w:tcW w:w="1418" w:type="dxa"/>
            <w:textDirection w:val="lrTb"/>
            <w:noWrap w:val="false"/>
          </w:tcPr>
          <w:p>
            <w:pPr>
              <w:pStyle w:val="894"/>
              <w:ind w:right="0" w:firstLine="0"/>
              <w:jc w:val="left"/>
              <w:widowControl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      -15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</w:p>
        </w:tc>
      </w:tr>
      <w:tr>
        <w:tblPrEx/>
        <w:trPr/>
        <w:tc>
          <w:tcPr>
            <w:tcW w:w="4786" w:type="dxa"/>
            <w:textDirection w:val="lrTb"/>
            <w:noWrap w:val="false"/>
          </w:tcPr>
          <w:p>
            <w:pPr>
              <w:pStyle w:val="894"/>
              <w:ind w:right="0" w:firstLine="0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-несоответствие принципу результативности и эффективности использование средств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418" w:type="dxa"/>
            <w:textDirection w:val="lrTb"/>
            <w:noWrap w:val="false"/>
          </w:tcPr>
          <w:p>
            <w:pPr>
              <w:pStyle w:val="894"/>
              <w:ind w:right="0" w:firstLine="0"/>
              <w:jc w:val="left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+1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</w:tr>
      <w:tr>
        <w:tblPrEx/>
        <w:trPr/>
        <w:tc>
          <w:tcPr>
            <w:tcW w:w="4786" w:type="dxa"/>
            <w:textDirection w:val="lrTb"/>
            <w:noWrap w:val="false"/>
          </w:tcPr>
          <w:p>
            <w:pPr>
              <w:pStyle w:val="894"/>
              <w:ind w:right="0" w:firstLine="0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-прочие недостатки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22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28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12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418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-16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</w:tr>
    </w:tbl>
    <w:p>
      <w:pPr>
        <w:ind w:firstLine="425"/>
        <w:jc w:val="both"/>
        <w:tabs>
          <w:tab w:val="left" w:pos="567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425"/>
        <w:jc w:val="both"/>
        <w:tabs>
          <w:tab w:val="left" w:pos="567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По сравнению с </w:t>
      </w:r>
      <w:r>
        <w:rPr>
          <w:sz w:val="28"/>
          <w:szCs w:val="28"/>
          <w:highlight w:val="white"/>
        </w:rPr>
        <w:t xml:space="preserve">2023</w:t>
      </w:r>
      <w:r>
        <w:rPr>
          <w:sz w:val="28"/>
          <w:szCs w:val="28"/>
        </w:rPr>
        <w:t xml:space="preserve"> годом наблюдается изменение структуры и характера выявленных нарушений законодательства при проведении контроль</w:t>
      </w:r>
      <w:r>
        <w:rPr>
          <w:sz w:val="28"/>
          <w:szCs w:val="28"/>
        </w:rPr>
        <w:t xml:space="preserve">ных мероприятий.  Наблюдается общий рост выявляемых нарушений бюджетного законодате</w:t>
      </w:r>
      <w:r>
        <w:rPr>
          <w:sz w:val="28"/>
          <w:szCs w:val="28"/>
        </w:rPr>
        <w:t xml:space="preserve">льства. По сравнению с 2023 годом количество  выявленных нарушений выросло в 3 раза и в 2,1 раза больше уровня 2022 года. В 2024 году по сравнению с 2023 годом выявлено в 7 раз больше нарушений при формировании и исполнении бюджетов, увеличилось количество</w:t>
      </w:r>
      <w:r>
        <w:rPr>
          <w:sz w:val="28"/>
          <w:szCs w:val="28"/>
        </w:rPr>
        <w:t xml:space="preserve"> нарушений в области муниципальной собственности (14, в 2023 году - 0) и в области ведения бу</w:t>
      </w:r>
      <w:r>
        <w:rPr>
          <w:sz w:val="28"/>
          <w:szCs w:val="28"/>
        </w:rPr>
        <w:t xml:space="preserve">хгалтерского учета и составления отчетности (17, в 2023 году  - 0). Количество нарушений в области осуществления муниципальных закупок  остается стабильно высоким и составляет 18 (26,9% от всех нарушений), снижение по сравнению с 2023 годом составило 10%.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425"/>
        <w:jc w:val="both"/>
        <w:tabs>
          <w:tab w:val="left" w:pos="567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 2024 году наблюдается рост количества выявленных прочих нарушений федерального, регионального и муниципального законодательства и недостатков (4, в 2023 году - 0).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425"/>
        <w:jc w:val="both"/>
        <w:tabs>
          <w:tab w:val="left" w:pos="567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Наибольшую долю 26,9% в 2024 </w:t>
      </w:r>
      <w:r>
        <w:rPr>
          <w:sz w:val="28"/>
          <w:szCs w:val="28"/>
        </w:rPr>
        <w:t xml:space="preserve">году составляли нарушения при осуществлении закупок для муниципальных нужд (в 2022 г. – 50,0 %, в 2023 году – 90,9%). Снижение доли нарушений по сравнению с 2023 годом связано с уменьшением количества контрольных мероприятий, направленных на аудит закупок.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425"/>
        <w:jc w:val="both"/>
        <w:tabs>
          <w:tab w:val="left" w:pos="567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Нарушения при осуществлении закупок в первую очередь связаны: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425"/>
        <w:jc w:val="both"/>
        <w:tabs>
          <w:tab w:val="left" w:pos="567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-с нарушением муниципальными заказчиками условий муниципальных контрактов, в том числе сроков оплаты по контрактам (договорам),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425"/>
        <w:jc w:val="both"/>
        <w:tabs>
          <w:tab w:val="left" w:pos="567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-с подписанием актов приемки работ при наличии незаконченных работ или не качественного товара,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425"/>
        <w:jc w:val="both"/>
        <w:tabs>
          <w:tab w:val="left" w:pos="567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-с не применением мер ответственности к поставщикам товаров работ и услуг за нарушение сроков исполнения контрактов.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567"/>
        <w:jc w:val="both"/>
        <w:tabs>
          <w:tab w:val="left" w:pos="567" w:leader="none"/>
        </w:tabs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Увеличение количества выявляемых нарушений при ведении бухгалтерского учета и составления отчетности обуслов</w:t>
      </w:r>
      <w:r>
        <w:rPr>
          <w:sz w:val="28"/>
          <w:szCs w:val="28"/>
        </w:rPr>
        <w:t xml:space="preserve">лено в первую очередь увеличением количества контрольных мероприятий, направленных на </w:t>
      </w: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 xml:space="preserve">проверку вопросов владения, пользования и распоряжения муниципальным имуществом, </w:t>
      </w: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 xml:space="preserve"> в том числе формирования и учета доходов от использования муниципального имущества и </w:t>
      </w:r>
      <w:r>
        <w:rPr>
          <w:rFonts w:ascii="Times New Roman" w:hAnsi="Times New Roman" w:cs="Times New Roman"/>
          <w:sz w:val="28"/>
          <w:szCs w:val="28"/>
        </w:rPr>
        <w:t xml:space="preserve">управления дебиторской задолженностью.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существенное изменение структуры нарушений в суммовом выражении оказали</w:t>
      </w:r>
      <w:r>
        <w:rPr>
          <w:sz w:val="28"/>
          <w:szCs w:val="28"/>
        </w:rPr>
        <w:t xml:space="preserve"> объекты и темы контрольных мероприятий.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tabs>
          <w:tab w:val="left" w:pos="567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Сравнительный анализ суммового изменения структуры нарушений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tabs>
          <w:tab w:val="left" w:pos="567" w:leader="none"/>
        </w:tabs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и недостатков в 2022-2024 годах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jc w:val="center"/>
        <w:tabs>
          <w:tab w:val="left" w:pos="567" w:leader="none"/>
        </w:tabs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tbl>
      <w:tblPr>
        <w:tblW w:w="1003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276"/>
        <w:gridCol w:w="1276"/>
        <w:gridCol w:w="1276"/>
        <w:gridCol w:w="1275"/>
        <w:gridCol w:w="1276"/>
        <w:gridCol w:w="1276"/>
      </w:tblGrid>
      <w:tr>
        <w:tblPrEx/>
        <w:trPr/>
        <w:tc>
          <w:tcPr>
            <w:tcW w:w="2376" w:type="dxa"/>
            <w:textDirection w:val="lrTb"/>
            <w:noWrap w:val="false"/>
          </w:tcPr>
          <w:p>
            <w:pPr>
              <w:pStyle w:val="894"/>
              <w:ind w:right="0" w:firstLine="0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gridSpan w:val="2"/>
            <w:tcW w:w="2552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2022 год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gridSpan w:val="2"/>
            <w:tcW w:w="2551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2023 год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gridSpan w:val="2"/>
            <w:tcW w:w="2552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2024 год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</w:tr>
      <w:tr>
        <w:tblPrEx/>
        <w:trPr/>
        <w:tc>
          <w:tcPr>
            <w:tcW w:w="2376" w:type="dxa"/>
            <w:textDirection w:val="lrTb"/>
            <w:noWrap w:val="false"/>
          </w:tcPr>
          <w:p>
            <w:pPr>
              <w:pStyle w:val="894"/>
              <w:ind w:right="0" w:firstLine="0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Виды нарушений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Сумма выявленных нарушений 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Доля в общей сумме нарушений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Сумма выявленных нарушений 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5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Доля в общей сумме нарушений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Сумма выявленных нарушений 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Доля в общей сумме нарушений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</w:tr>
      <w:tr>
        <w:tblPrEx/>
        <w:trPr/>
        <w:tc>
          <w:tcPr>
            <w:tcW w:w="2376" w:type="dxa"/>
            <w:textDirection w:val="lrTb"/>
            <w:noWrap w:val="false"/>
          </w:tcPr>
          <w:p>
            <w:pPr>
              <w:pStyle w:val="894"/>
              <w:ind w:right="0" w:firstLine="0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Нарушений всего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, тыс.рублей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115412,4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</w:p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100,0 %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  <w:t xml:space="preserve">69170,3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</w:r>
          </w:p>
        </w:tc>
        <w:tc>
          <w:tcPr>
            <w:tcW w:w="1275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  <w:t xml:space="preserve">100,0 %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highlight w:val="none"/>
              </w:rPr>
              <w:t xml:space="preserve">3666,7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  <w:t xml:space="preserve">100,0 %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</w:r>
          </w:p>
        </w:tc>
      </w:tr>
      <w:tr>
        <w:tblPrEx/>
        <w:trPr/>
        <w:tc>
          <w:tcPr>
            <w:tcW w:w="2376" w:type="dxa"/>
            <w:textDirection w:val="lrTb"/>
            <w:noWrap w:val="false"/>
          </w:tcPr>
          <w:p>
            <w:pPr>
              <w:pStyle w:val="894"/>
              <w:ind w:right="0" w:firstLine="0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из них: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</w:p>
        </w:tc>
        <w:tc>
          <w:tcPr>
            <w:tcW w:w="1275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</w:p>
        </w:tc>
      </w:tr>
      <w:tr>
        <w:tblPrEx/>
        <w:trPr/>
        <w:tc>
          <w:tcPr>
            <w:tcW w:w="2376" w:type="dxa"/>
            <w:textDirection w:val="lrTb"/>
            <w:noWrap w:val="false"/>
          </w:tcPr>
          <w:p>
            <w:pPr>
              <w:pStyle w:val="894"/>
              <w:ind w:right="0" w:firstLine="0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-при формировании и исполнении бюджетов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0,01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0,0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 xml:space="preserve">0</w:t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</w:p>
        </w:tc>
        <w:tc>
          <w:tcPr>
            <w:tcW w:w="1275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*</w:t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none"/>
              </w:rPr>
              <w:t xml:space="preserve">243,0</w:t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6,6%</w:t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</w:p>
        </w:tc>
      </w:tr>
      <w:tr>
        <w:tblPrEx/>
        <w:trPr/>
        <w:tc>
          <w:tcPr>
            <w:tcW w:w="2376" w:type="dxa"/>
            <w:textDirection w:val="lrTb"/>
            <w:noWrap w:val="false"/>
          </w:tcPr>
          <w:p>
            <w:pPr>
              <w:pStyle w:val="894"/>
              <w:ind w:right="0" w:firstLine="0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-нецелевое использование средств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*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 xml:space="preserve">0</w:t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</w:p>
        </w:tc>
        <w:tc>
          <w:tcPr>
            <w:tcW w:w="1275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 xml:space="preserve">*</w:t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 xml:space="preserve">0</w:t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 xml:space="preserve">*</w:t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</w:p>
        </w:tc>
      </w:tr>
      <w:tr>
        <w:tblPrEx/>
        <w:trPr/>
        <w:tc>
          <w:tcPr>
            <w:tcW w:w="2376" w:type="dxa"/>
            <w:textDirection w:val="lrTb"/>
            <w:noWrap w:val="false"/>
          </w:tcPr>
          <w:p>
            <w:pPr>
              <w:pStyle w:val="894"/>
              <w:ind w:right="0" w:firstLine="0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- в области муниципальной собственности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165,0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0,1 %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</w:t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</w:p>
        </w:tc>
        <w:tc>
          <w:tcPr>
            <w:tcW w:w="1275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*</w:t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1700,7</w:t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46,4%</w:t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</w:p>
        </w:tc>
      </w:tr>
      <w:tr>
        <w:tblPrEx/>
        <w:trPr/>
        <w:tc>
          <w:tcPr>
            <w:tcW w:w="2376" w:type="dxa"/>
            <w:textDirection w:val="lrTb"/>
            <w:noWrap w:val="false"/>
          </w:tcPr>
          <w:p>
            <w:pPr>
              <w:pStyle w:val="894"/>
              <w:ind w:right="0" w:firstLine="0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- области осуществления муниципальных закупок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115247,4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99,9 %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69170,3</w:t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</w:p>
        </w:tc>
        <w:tc>
          <w:tcPr>
            <w:tcW w:w="1275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 xml:space="preserve">100,0 %</w:t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304,0</w:t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none"/>
              </w:rPr>
              <w:t xml:space="preserve">8,3</w:t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 xml:space="preserve"> %</w:t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</w:p>
        </w:tc>
      </w:tr>
      <w:tr>
        <w:tblPrEx/>
        <w:trPr/>
        <w:tc>
          <w:tcPr>
            <w:tcW w:w="2376" w:type="dxa"/>
            <w:textDirection w:val="lrTb"/>
            <w:noWrap w:val="false"/>
          </w:tcPr>
          <w:p>
            <w:pPr>
              <w:pStyle w:val="894"/>
              <w:ind w:right="0" w:firstLine="0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-при ведении бухгалтерского учета и составления отчетности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 xml:space="preserve">0</w:t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</w:p>
        </w:tc>
        <w:tc>
          <w:tcPr>
            <w:tcW w:w="1275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  <w:t xml:space="preserve">0</w:t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none"/>
              </w:rPr>
              <w:t xml:space="preserve">1413,2</w:t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none"/>
              </w:rPr>
              <w:t xml:space="preserve">38,5%</w:t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</w:p>
        </w:tc>
      </w:tr>
      <w:tr>
        <w:tblPrEx/>
        <w:trPr/>
        <w:tc>
          <w:tcPr>
            <w:tcW w:w="2376" w:type="dxa"/>
            <w:vMerge w:val="restart"/>
            <w:textDirection w:val="lrTb"/>
            <w:noWrap w:val="false"/>
          </w:tcPr>
          <w:p>
            <w:pPr>
              <w:pStyle w:val="894"/>
              <w:ind w:right="0" w:firstLine="0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-прочие нарушения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*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none"/>
              </w:rPr>
              <w:t xml:space="preserve">0</w:t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</w:p>
        </w:tc>
        <w:tc>
          <w:tcPr>
            <w:tcW w:w="1275" w:type="dxa"/>
            <w:vMerge w:val="restart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none"/>
              </w:rPr>
              <w:t xml:space="preserve">*</w:t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non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none"/>
              </w:rPr>
              <w:t xml:space="preserve">5,8</w:t>
            </w:r>
            <w:r>
              <w:rPr>
                <w:rFonts w:ascii="Times New Roman" w:hAnsi="Times New Roman" w:cs="Times New Roman"/>
                <w:sz w:val="16"/>
                <w:szCs w:val="16"/>
                <w:highlight w:val="non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none"/>
              </w:rPr>
            </w:r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none"/>
              </w:rPr>
              <w:t xml:space="preserve">0,2%</w:t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white"/>
              </w:rPr>
            </w:r>
          </w:p>
        </w:tc>
      </w:tr>
      <w:tr>
        <w:tblPrEx/>
        <w:trPr/>
        <w:tc>
          <w:tcPr>
            <w:tcW w:w="2376" w:type="dxa"/>
            <w:textDirection w:val="lrTb"/>
            <w:noWrap w:val="false"/>
          </w:tcPr>
          <w:p>
            <w:pPr>
              <w:pStyle w:val="894"/>
              <w:ind w:right="0" w:firstLine="0"/>
              <w:widowControl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Выявлено недостатков –всего, тыс. рублей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</w:p>
          <w:p>
            <w:pPr>
              <w:pStyle w:val="894"/>
              <w:ind w:right="0" w:firstLine="0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 том числе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0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*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0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r>
          </w:p>
        </w:tc>
        <w:tc>
          <w:tcPr>
            <w:tcW w:w="1275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0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9,0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100,0%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r>
          </w:p>
        </w:tc>
      </w:tr>
      <w:tr>
        <w:tblPrEx/>
        <w:trPr/>
        <w:tc>
          <w:tcPr>
            <w:tcW w:w="2376" w:type="dxa"/>
            <w:textDirection w:val="lrTb"/>
            <w:noWrap w:val="false"/>
          </w:tcPr>
          <w:p>
            <w:pPr>
              <w:pStyle w:val="894"/>
              <w:ind w:right="0" w:firstLine="0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-неэффективное использование средств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*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</w:t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</w:p>
        </w:tc>
        <w:tc>
          <w:tcPr>
            <w:tcW w:w="1275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</w:t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9,0</w:t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none"/>
              </w:rPr>
              <w:t xml:space="preserve">100,0%</w:t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</w:p>
        </w:tc>
      </w:tr>
      <w:tr>
        <w:tblPrEx/>
        <w:trPr/>
        <w:tc>
          <w:tcPr>
            <w:tcW w:w="2376" w:type="dxa"/>
            <w:textDirection w:val="lrTb"/>
            <w:noWrap w:val="false"/>
          </w:tcPr>
          <w:p>
            <w:pPr>
              <w:pStyle w:val="894"/>
              <w:ind w:right="0" w:firstLine="0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-прочие недостатки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*</w:t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</w:t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</w:p>
        </w:tc>
        <w:tc>
          <w:tcPr>
            <w:tcW w:w="1275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</w:t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none"/>
              </w:rPr>
              <w:t xml:space="preserve">0,0</w:t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0,0%</w:t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r>
          </w:p>
        </w:tc>
      </w:tr>
      <w:tr>
        <w:tblPrEx/>
        <w:trPr/>
        <w:tc>
          <w:tcPr>
            <w:tcW w:w="2376" w:type="dxa"/>
            <w:textDirection w:val="lrTb"/>
            <w:noWrap w:val="false"/>
          </w:tcPr>
          <w:p>
            <w:pPr>
              <w:pStyle w:val="894"/>
              <w:ind w:right="0" w:firstLine="0"/>
              <w:widowControl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Предложено к устранению нарушений или восстановлению бюджетных средств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753,8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*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687,2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r>
          </w:p>
        </w:tc>
        <w:tc>
          <w:tcPr>
            <w:tcW w:w="1275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  <w:t xml:space="preserve">*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3659,9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  <w:t xml:space="preserve">*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</w:r>
          </w:p>
        </w:tc>
      </w:tr>
      <w:tr>
        <w:tblPrEx/>
        <w:trPr/>
        <w:tc>
          <w:tcPr>
            <w:tcW w:w="2376" w:type="dxa"/>
            <w:textDirection w:val="lrTb"/>
            <w:noWrap w:val="false"/>
          </w:tcPr>
          <w:p>
            <w:pPr>
              <w:pStyle w:val="894"/>
              <w:ind w:right="0" w:firstLine="0"/>
              <w:widowControl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Устранено  и восстановлено бюджетных средств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275,8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0 %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687,2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r>
          </w:p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r>
          </w:p>
        </w:tc>
        <w:tc>
          <w:tcPr>
            <w:tcW w:w="1275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  <w:t xml:space="preserve">*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3362,3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r>
          </w:p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  <w:t xml:space="preserve">*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</w:r>
          </w:p>
        </w:tc>
      </w:tr>
      <w:tr>
        <w:tblPrEx/>
        <w:trPr/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76" w:type="dxa"/>
            <w:vAlign w:val="center"/>
            <w:textDirection w:val="lrTb"/>
            <w:noWrap w:val="false"/>
          </w:tcPr>
          <w:p>
            <w:pPr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Доля выявленных нарушений в общей сумме проверенных средств</w:t>
            </w:r>
            <w:r>
              <w:rPr>
                <w:b/>
                <w:bCs/>
                <w:sz w:val="16"/>
                <w:szCs w:val="16"/>
              </w:rPr>
            </w:r>
            <w:r>
              <w:rPr>
                <w:b/>
                <w:bCs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41,7 %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*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  <w:t xml:space="preserve">74,7 %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</w:r>
          </w:p>
        </w:tc>
        <w:tc>
          <w:tcPr>
            <w:tcW w:w="1275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  <w:t xml:space="preserve">*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highlight w:val="none"/>
              </w:rPr>
              <w:t xml:space="preserve">0,1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894"/>
              <w:ind w:right="0" w:firstLine="0"/>
              <w:jc w:val="center"/>
              <w:widowControl/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  <w:t xml:space="preserve">*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</w:r>
            <w:r>
              <w:rPr>
                <w:rFonts w:ascii="Times New Roman" w:hAnsi="Times New Roman" w:cs="Times New Roman"/>
                <w:b/>
                <w:sz w:val="16"/>
                <w:szCs w:val="16"/>
                <w:highlight w:val="white"/>
              </w:rPr>
            </w:r>
          </w:p>
        </w:tc>
      </w:tr>
    </w:tbl>
    <w:p>
      <w:pPr>
        <w:pStyle w:val="884"/>
        <w:ind w:firstLine="567"/>
        <w:jc w:val="both"/>
        <w:tabs>
          <w:tab w:val="left" w:pos="567" w:leader="none"/>
        </w:tabs>
        <w:rPr>
          <w:sz w:val="28"/>
          <w:szCs w:val="28"/>
          <w:highlight w:val="none"/>
        </w:rPr>
      </w:pPr>
      <w:r>
        <w:rPr>
          <w:sz w:val="28"/>
          <w:szCs w:val="28"/>
          <w:highlight w:val="white"/>
        </w:rPr>
        <w:t xml:space="preserve">В соответствии с планом работы в установленные Положением о бюджетном процессе сроки в отчетном периоде</w:t>
      </w:r>
      <w:r>
        <w:rPr>
          <w:sz w:val="28"/>
          <w:szCs w:val="28"/>
          <w:highlight w:val="white"/>
        </w:rPr>
        <w:t xml:space="preserve"> 2024 г. проведена внешняя проверка годовой бюджетной отчётности главных администраторов бюджетных средств за 2023 год. Проверено 13 объектов контроля (13 главных распорядителей бюджетных средств). Объем средств охваченных контрольными мероприятиями –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1818294,1</w:t>
      </w:r>
      <w:r>
        <w:rPr>
          <w:sz w:val="28"/>
          <w:szCs w:val="28"/>
          <w:highlight w:val="yellow"/>
        </w:rPr>
        <w:t xml:space="preserve"> </w:t>
      </w:r>
      <w:r>
        <w:rPr>
          <w:sz w:val="28"/>
          <w:szCs w:val="28"/>
          <w:highlight w:val="white"/>
        </w:rPr>
        <w:t xml:space="preserve">т</w:t>
      </w:r>
      <w:r>
        <w:rPr>
          <w:sz w:val="28"/>
          <w:szCs w:val="28"/>
          <w:highlight w:val="white"/>
        </w:rPr>
        <w:t xml:space="preserve">ыс.рублей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Всего в</w:t>
      </w:r>
      <w:r>
        <w:rPr>
          <w:sz w:val="28"/>
          <w:szCs w:val="28"/>
          <w:highlight w:val="white"/>
        </w:rPr>
        <w:t xml:space="preserve">ыявлено 32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нарушения и недостатка, из них </w:t>
      </w:r>
      <w:r>
        <w:rPr>
          <w:sz w:val="28"/>
          <w:szCs w:val="28"/>
          <w:highlight w:val="white"/>
        </w:rPr>
        <w:t xml:space="preserve">5 нарушений при ведении бухгалтерского учета и отчетности</w:t>
      </w:r>
      <w:r>
        <w:rPr>
          <w:sz w:val="28"/>
          <w:szCs w:val="28"/>
          <w:highlight w:val="white"/>
        </w:rPr>
        <w:t xml:space="preserve">, 5 нарушений </w:t>
      </w:r>
      <w:r>
        <w:rPr>
          <w:sz w:val="28"/>
          <w:szCs w:val="28"/>
          <w:highlight w:val="white"/>
        </w:rPr>
        <w:t xml:space="preserve">законодательства в сфере закупок, 22 недостатка, в том числе 14 фактов неэффективного расходования бюджетных средств на общую сумму 505,5 тыс. рублей. При п</w:t>
      </w:r>
      <w:r>
        <w:rPr>
          <w:sz w:val="28"/>
          <w:szCs w:val="28"/>
          <w:highlight w:val="white"/>
        </w:rPr>
        <w:t xml:space="preserve">роверке в поселениях района выявлено 10</w:t>
      </w:r>
      <w:r>
        <w:rPr>
          <w:sz w:val="28"/>
          <w:szCs w:val="28"/>
          <w:highlight w:val="white"/>
        </w:rPr>
        <w:t xml:space="preserve"> нарушений. 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firstLine="567"/>
        <w:jc w:val="both"/>
        <w:tabs>
          <w:tab w:val="left" w:pos="567" w:leader="none"/>
        </w:tabs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tbl>
      <w:tblPr>
        <w:tblW w:w="9827" w:type="dxa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314"/>
        <w:gridCol w:w="1188"/>
        <w:gridCol w:w="851"/>
        <w:gridCol w:w="850"/>
        <w:gridCol w:w="1102"/>
        <w:gridCol w:w="1135"/>
        <w:gridCol w:w="852"/>
        <w:gridCol w:w="1132"/>
        <w:gridCol w:w="1395"/>
        <w:gridCol w:w="8"/>
      </w:tblGrid>
      <w:tr>
        <w:tblPrEx/>
        <w:trPr/>
        <w:tc>
          <w:tcPr>
            <w:tcW w:w="1314" w:type="dxa"/>
            <w:vAlign w:val="top"/>
            <w:vMerge w:val="restart"/>
            <w:textDirection w:val="lrTb"/>
            <w:noWrap w:val="false"/>
          </w:tcPr>
          <w:p>
            <w:pPr>
              <w:pStyle w:val="884"/>
              <w:jc w:val="both"/>
              <w:tabs>
                <w:tab w:val="left" w:pos="567" w:leader="none"/>
              </w:tabs>
              <w:rPr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</w: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  <w:tc>
          <w:tcPr>
            <w:tcW w:w="1188" w:type="dxa"/>
            <w:vAlign w:val="top"/>
            <w:vMerge w:val="restar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2021 г.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851" w:type="dxa"/>
            <w:vAlign w:val="top"/>
            <w:vMerge w:val="restart"/>
            <w:textDirection w:val="lrTb"/>
            <w:noWrap w:val="false"/>
          </w:tcPr>
          <w:p>
            <w:pPr>
              <w:pStyle w:val="884"/>
              <w:jc w:val="center"/>
              <w:tabs>
                <w:tab w:val="left" w:pos="567" w:leader="none"/>
              </w:tabs>
              <w:rPr>
                <w:highlight w:val="white"/>
              </w:rPr>
            </w:pPr>
            <w:r>
              <w:rPr>
                <w:sz w:val="16"/>
                <w:szCs w:val="16"/>
                <w:highlight w:val="white"/>
              </w:rPr>
              <w:t xml:space="preserve">2022 г.</w:t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</w:tc>
        <w:tc>
          <w:tcPr>
            <w:tcW w:w="850" w:type="dxa"/>
            <w:vAlign w:val="top"/>
            <w:vMerge w:val="restart"/>
            <w:textDirection w:val="lrTb"/>
            <w:noWrap w:val="false"/>
          </w:tcPr>
          <w:p>
            <w:pPr>
              <w:pStyle w:val="884"/>
              <w:jc w:val="center"/>
              <w:tabs>
                <w:tab w:val="left" w:pos="567" w:leader="none"/>
              </w:tabs>
              <w:rPr>
                <w:highlight w:val="white"/>
              </w:rPr>
            </w:pPr>
            <w:r>
              <w:rPr>
                <w:sz w:val="16"/>
                <w:szCs w:val="16"/>
                <w:highlight w:val="white"/>
              </w:rPr>
              <w:t xml:space="preserve">2023 г.</w:t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</w:tc>
        <w:tc>
          <w:tcPr>
            <w:gridSpan w:val="2"/>
            <w:tcW w:w="2237" w:type="dxa"/>
            <w:vAlign w:val="top"/>
            <w:textDirection w:val="lrTb"/>
            <w:noWrap w:val="false"/>
          </w:tcPr>
          <w:p>
            <w:pPr>
              <w:pStyle w:val="884"/>
              <w:jc w:val="center"/>
              <w:tabs>
                <w:tab w:val="left" w:pos="567" w:leader="none"/>
              </w:tabs>
              <w:rPr>
                <w:highlight w:val="white"/>
              </w:rPr>
            </w:pPr>
            <w:r>
              <w:rPr>
                <w:sz w:val="16"/>
                <w:szCs w:val="16"/>
                <w:highlight w:val="white"/>
              </w:rPr>
              <w:t xml:space="preserve">в том числе</w:t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</w:tc>
        <w:tc>
          <w:tcPr>
            <w:tcW w:w="852" w:type="dxa"/>
            <w:vAlign w:val="top"/>
            <w:vMerge w:val="restart"/>
            <w:textDirection w:val="lrTb"/>
            <w:noWrap w:val="false"/>
          </w:tcPr>
          <w:p>
            <w:pPr>
              <w:pStyle w:val="884"/>
              <w:jc w:val="center"/>
              <w:tabs>
                <w:tab w:val="left" w:pos="567" w:leader="none"/>
              </w:tabs>
              <w:rPr>
                <w:highlight w:val="white"/>
              </w:rPr>
            </w:pPr>
            <w:r>
              <w:rPr>
                <w:sz w:val="16"/>
                <w:szCs w:val="16"/>
                <w:highlight w:val="white"/>
              </w:rPr>
              <w:t xml:space="preserve">2024 г.</w:t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</w:tc>
        <w:tc>
          <w:tcPr>
            <w:gridSpan w:val="3"/>
            <w:tcW w:w="2535" w:type="dxa"/>
            <w:vAlign w:val="top"/>
            <w:textDirection w:val="lrTb"/>
            <w:noWrap w:val="false"/>
          </w:tcPr>
          <w:p>
            <w:pPr>
              <w:pStyle w:val="884"/>
              <w:jc w:val="center"/>
              <w:tabs>
                <w:tab w:val="left" w:pos="567" w:leader="none"/>
              </w:tabs>
              <w:rPr>
                <w:highlight w:val="white"/>
              </w:rPr>
            </w:pPr>
            <w:r>
              <w:rPr>
                <w:sz w:val="16"/>
                <w:szCs w:val="16"/>
                <w:highlight w:val="white"/>
              </w:rPr>
              <w:t xml:space="preserve">в том числе</w:t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</w:tc>
      </w:tr>
      <w:tr>
        <w:tblPrEx/>
        <w:trPr>
          <w:gridAfter w:val="1"/>
          <w:trHeight w:val="111"/>
        </w:trPr>
        <w:tc>
          <w:tcPr>
            <w:tcW w:w="1314" w:type="dxa"/>
            <w:vAlign w:val="top"/>
            <w:vMerge w:val="continue"/>
            <w:textDirection w:val="lrTb"/>
            <w:noWrap w:val="false"/>
          </w:tcPr>
          <w:p>
            <w:pPr>
              <w:pStyle w:val="884"/>
              <w:jc w:val="both"/>
              <w:tabs>
                <w:tab w:val="left" w:pos="567" w:leader="none"/>
              </w:tabs>
            </w:pPr>
            <w:r>
              <w:rPr>
                <w:sz w:val="16"/>
                <w:szCs w:val="16"/>
              </w:rPr>
            </w:r>
            <w:r/>
          </w:p>
        </w:tc>
        <w:tc>
          <w:tcPr>
            <w:tcW w:w="1188" w:type="dxa"/>
            <w:vAlign w:val="top"/>
            <w:vMerge w:val="continue"/>
            <w:textDirection w:val="lrTb"/>
            <w:noWrap w:val="false"/>
          </w:tcPr>
          <w:p>
            <w:pPr>
              <w:pStyle w:val="884"/>
              <w:jc w:val="center"/>
              <w:tabs>
                <w:tab w:val="left" w:pos="567" w:leader="none"/>
              </w:tabs>
            </w:pPr>
            <w:r>
              <w:rPr>
                <w:sz w:val="16"/>
                <w:szCs w:val="16"/>
              </w:rPr>
            </w:r>
            <w:r/>
          </w:p>
        </w:tc>
        <w:tc>
          <w:tcPr>
            <w:tcW w:w="851" w:type="dxa"/>
            <w:vAlign w:val="top"/>
            <w:vMerge w:val="continue"/>
            <w:textDirection w:val="lrTb"/>
            <w:noWrap w:val="false"/>
          </w:tcPr>
          <w:p>
            <w:pPr>
              <w:pStyle w:val="884"/>
              <w:jc w:val="center"/>
              <w:tabs>
                <w:tab w:val="left" w:pos="567" w:leader="none"/>
              </w:tabs>
            </w:pPr>
            <w:r>
              <w:rPr>
                <w:sz w:val="16"/>
                <w:szCs w:val="16"/>
              </w:rPr>
            </w:r>
            <w:r/>
          </w:p>
        </w:tc>
        <w:tc>
          <w:tcPr>
            <w:tcW w:w="850" w:type="dxa"/>
            <w:vAlign w:val="top"/>
            <w:vMerge w:val="continue"/>
            <w:textDirection w:val="lrTb"/>
            <w:noWrap w:val="false"/>
          </w:tcPr>
          <w:p>
            <w:pPr>
              <w:pStyle w:val="884"/>
              <w:jc w:val="center"/>
              <w:tabs>
                <w:tab w:val="left" w:pos="567" w:leader="none"/>
              </w:tabs>
            </w:pPr>
            <w:r>
              <w:rPr>
                <w:sz w:val="16"/>
                <w:szCs w:val="16"/>
              </w:rPr>
            </w:r>
            <w:r/>
          </w:p>
        </w:tc>
        <w:tc>
          <w:tcPr>
            <w:tcW w:w="1102" w:type="dxa"/>
            <w:vAlign w:val="top"/>
            <w:textDirection w:val="lrTb"/>
            <w:noWrap w:val="false"/>
          </w:tcPr>
          <w:p>
            <w:pPr>
              <w:pStyle w:val="884"/>
              <w:jc w:val="center"/>
              <w:tabs>
                <w:tab w:val="left" w:pos="567" w:leader="none"/>
              </w:tabs>
              <w:rPr>
                <w:highlight w:val="white"/>
              </w:rPr>
            </w:pPr>
            <w:r>
              <w:rPr>
                <w:sz w:val="16"/>
                <w:szCs w:val="16"/>
                <w:highlight w:val="white"/>
              </w:rPr>
              <w:t xml:space="preserve">поселения</w:t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</w:tc>
        <w:tc>
          <w:tcPr>
            <w:tcW w:w="1135" w:type="dxa"/>
            <w:vAlign w:val="top"/>
            <w:textDirection w:val="lrTb"/>
            <w:noWrap w:val="false"/>
          </w:tcPr>
          <w:p>
            <w:pPr>
              <w:pStyle w:val="884"/>
              <w:jc w:val="center"/>
              <w:tabs>
                <w:tab w:val="left" w:pos="567" w:leader="none"/>
              </w:tabs>
              <w:rPr>
                <w:highlight w:val="white"/>
              </w:rPr>
            </w:pPr>
            <w:r>
              <w:rPr>
                <w:sz w:val="16"/>
                <w:szCs w:val="16"/>
                <w:highlight w:val="white"/>
              </w:rPr>
              <w:t xml:space="preserve">район</w:t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</w:tc>
        <w:tc>
          <w:tcPr>
            <w:tcW w:w="852" w:type="dxa"/>
            <w:vAlign w:val="top"/>
            <w:vMerge w:val="continue"/>
            <w:textDirection w:val="lrTb"/>
            <w:noWrap w:val="false"/>
          </w:tcPr>
          <w:p>
            <w:pPr>
              <w:pStyle w:val="884"/>
              <w:jc w:val="center"/>
              <w:tabs>
                <w:tab w:val="left" w:pos="567" w:leader="none"/>
              </w:tabs>
            </w:pPr>
            <w:r>
              <w:rPr>
                <w:sz w:val="16"/>
                <w:szCs w:val="16"/>
              </w:rPr>
            </w:r>
            <w:r/>
          </w:p>
        </w:tc>
        <w:tc>
          <w:tcPr>
            <w:tcW w:w="1132" w:type="dxa"/>
            <w:vAlign w:val="top"/>
            <w:textDirection w:val="lrTb"/>
            <w:noWrap w:val="false"/>
          </w:tcPr>
          <w:p>
            <w:pPr>
              <w:pStyle w:val="884"/>
              <w:jc w:val="center"/>
              <w:tabs>
                <w:tab w:val="left" w:pos="567" w:leader="none"/>
              </w:tabs>
              <w:rPr>
                <w:highlight w:val="white"/>
              </w:rPr>
            </w:pPr>
            <w:r>
              <w:rPr>
                <w:sz w:val="16"/>
                <w:szCs w:val="16"/>
                <w:highlight w:val="white"/>
              </w:rPr>
              <w:t xml:space="preserve">поселения</w:t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</w:tc>
        <w:tc>
          <w:tcPr>
            <w:tcW w:w="1395" w:type="dxa"/>
            <w:vAlign w:val="top"/>
            <w:textDirection w:val="lrTb"/>
            <w:noWrap w:val="false"/>
          </w:tcPr>
          <w:p>
            <w:pPr>
              <w:pStyle w:val="884"/>
              <w:jc w:val="center"/>
              <w:tabs>
                <w:tab w:val="left" w:pos="238" w:leader="none"/>
              </w:tabs>
              <w:rPr>
                <w:highlight w:val="white"/>
              </w:rPr>
            </w:pPr>
            <w:r>
              <w:rPr>
                <w:sz w:val="16"/>
                <w:szCs w:val="16"/>
                <w:highlight w:val="white"/>
              </w:rPr>
              <w:t xml:space="preserve">район</w:t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</w:tc>
      </w:tr>
      <w:tr>
        <w:tblPrEx/>
        <w:trPr/>
        <w:tc>
          <w:tcPr>
            <w:tcW w:w="1314" w:type="dxa"/>
            <w:vAlign w:val="top"/>
            <w:textDirection w:val="lrTb"/>
            <w:noWrap w:val="false"/>
          </w:tcPr>
          <w:p>
            <w:pPr>
              <w:pStyle w:val="884"/>
              <w:jc w:val="both"/>
              <w:tabs>
                <w:tab w:val="left" w:pos="567" w:leader="none"/>
              </w:tabs>
              <w:rPr>
                <w:highlight w:val="white"/>
              </w:rPr>
            </w:pPr>
            <w:r>
              <w:rPr>
                <w:sz w:val="16"/>
                <w:szCs w:val="16"/>
                <w:highlight w:val="white"/>
              </w:rPr>
              <w:t xml:space="preserve">Количество нарушений </w:t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</w:tc>
        <w:tc>
          <w:tcPr>
            <w:tcW w:w="118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851" w:type="dxa"/>
            <w:vAlign w:val="center"/>
            <w:textDirection w:val="lrTb"/>
            <w:noWrap w:val="false"/>
          </w:tcPr>
          <w:p>
            <w:pPr>
              <w:pStyle w:val="884"/>
              <w:jc w:val="center"/>
              <w:tabs>
                <w:tab w:val="left" w:pos="567" w:leader="none"/>
              </w:tabs>
              <w:rPr>
                <w:highlight w:val="white"/>
              </w:rPr>
            </w:pPr>
            <w:r>
              <w:rPr>
                <w:sz w:val="16"/>
                <w:szCs w:val="16"/>
                <w:highlight w:val="none"/>
              </w:rPr>
              <w:t xml:space="preserve">28</w:t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</w:tc>
        <w:tc>
          <w:tcPr>
            <w:tcW w:w="850" w:type="dxa"/>
            <w:vAlign w:val="center"/>
            <w:textDirection w:val="lrTb"/>
            <w:noWrap w:val="false"/>
          </w:tcPr>
          <w:p>
            <w:pPr>
              <w:pStyle w:val="884"/>
              <w:jc w:val="center"/>
              <w:tabs>
                <w:tab w:val="left" w:pos="567" w:leader="none"/>
              </w:tabs>
              <w:rPr>
                <w:highlight w:val="white"/>
              </w:rPr>
            </w:pPr>
            <w:r>
              <w:rPr>
                <w:sz w:val="16"/>
                <w:szCs w:val="16"/>
                <w:highlight w:val="none"/>
              </w:rPr>
              <w:t xml:space="preserve">10</w:t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</w:tc>
        <w:tc>
          <w:tcPr>
            <w:tcW w:w="1102" w:type="dxa"/>
            <w:vAlign w:val="center"/>
            <w:textDirection w:val="lrTb"/>
            <w:noWrap w:val="false"/>
          </w:tcPr>
          <w:p>
            <w:pPr>
              <w:pStyle w:val="884"/>
              <w:jc w:val="center"/>
              <w:tabs>
                <w:tab w:val="left" w:pos="567" w:leader="none"/>
              </w:tabs>
              <w:rPr>
                <w:highlight w:val="white"/>
              </w:rPr>
            </w:pPr>
            <w:r>
              <w:rPr>
                <w:sz w:val="16"/>
                <w:szCs w:val="16"/>
                <w:highlight w:val="none"/>
              </w:rPr>
              <w:t xml:space="preserve">9</w:t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</w:tc>
        <w:tc>
          <w:tcPr>
            <w:tcW w:w="1135" w:type="dxa"/>
            <w:vAlign w:val="center"/>
            <w:textDirection w:val="lrTb"/>
            <w:noWrap w:val="false"/>
          </w:tcPr>
          <w:p>
            <w:pPr>
              <w:pStyle w:val="884"/>
              <w:jc w:val="center"/>
              <w:tabs>
                <w:tab w:val="left" w:pos="567" w:leader="none"/>
              </w:tabs>
              <w:rPr>
                <w:highlight w:val="white"/>
              </w:rPr>
            </w:pPr>
            <w:r>
              <w:rPr>
                <w:sz w:val="16"/>
                <w:szCs w:val="16"/>
                <w:highlight w:val="white"/>
              </w:rPr>
              <w:t xml:space="preserve">1</w:t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</w:tc>
        <w:tc>
          <w:tcPr>
            <w:tcW w:w="852" w:type="dxa"/>
            <w:vAlign w:val="center"/>
            <w:textDirection w:val="lrTb"/>
            <w:noWrap w:val="false"/>
          </w:tcPr>
          <w:p>
            <w:pPr>
              <w:pStyle w:val="884"/>
              <w:jc w:val="center"/>
              <w:tabs>
                <w:tab w:val="left" w:pos="567" w:leader="none"/>
              </w:tabs>
              <w:rPr>
                <w:highlight w:val="yellow"/>
              </w:rPr>
            </w:pPr>
            <w:r>
              <w:rPr>
                <w:sz w:val="16"/>
                <w:szCs w:val="16"/>
                <w:highlight w:val="none"/>
              </w:rPr>
              <w:t xml:space="preserve">10</w:t>
            </w: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  <w:tc>
          <w:tcPr>
            <w:tcW w:w="1132" w:type="dxa"/>
            <w:vAlign w:val="center"/>
            <w:textDirection w:val="lrTb"/>
            <w:noWrap w:val="false"/>
          </w:tcPr>
          <w:p>
            <w:pPr>
              <w:pStyle w:val="884"/>
              <w:jc w:val="center"/>
              <w:tabs>
                <w:tab w:val="left" w:pos="567" w:leader="none"/>
              </w:tabs>
              <w:rPr>
                <w:highlight w:val="yellow"/>
              </w:rPr>
            </w:pPr>
            <w:r>
              <w:rPr>
                <w:sz w:val="16"/>
                <w:szCs w:val="16"/>
                <w:highlight w:val="none"/>
              </w:rPr>
              <w:t xml:space="preserve">10</w:t>
            </w: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  <w:tc>
          <w:tcPr>
            <w:gridSpan w:val="2"/>
            <w:tcW w:w="1403" w:type="dxa"/>
            <w:vAlign w:val="center"/>
            <w:textDirection w:val="lrTb"/>
            <w:noWrap w:val="false"/>
          </w:tcPr>
          <w:p>
            <w:pPr>
              <w:pStyle w:val="884"/>
              <w:jc w:val="center"/>
              <w:tabs>
                <w:tab w:val="left" w:pos="567" w:leader="none"/>
              </w:tabs>
              <w:rPr>
                <w:highlight w:val="yellow"/>
              </w:rPr>
            </w:pPr>
            <w:r>
              <w:rPr>
                <w:sz w:val="16"/>
                <w:szCs w:val="16"/>
                <w:highlight w:val="none"/>
              </w:rPr>
              <w:t xml:space="preserve">0</w:t>
            </w: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</w:tr>
    </w:tbl>
    <w:p>
      <w:pPr>
        <w:pStyle w:val="884"/>
        <w:ind w:firstLine="567"/>
        <w:jc w:val="both"/>
        <w:tabs>
          <w:tab w:val="left" w:pos="567" w:leader="none"/>
        </w:tabs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  <w:t xml:space="preserve"> Недостатки</w:t>
      </w:r>
      <w:r>
        <w:rPr>
          <w:sz w:val="28"/>
          <w:szCs w:val="28"/>
          <w:highlight w:val="white"/>
        </w:rPr>
        <w:t xml:space="preserve"> выявлены при составлении финансовой отчетности (технические ошибки, ошибки при заполнении форм и отдельных граф установленных форм отчетности, отсутствие пояснений и информации в Пояснительной записке)</w:t>
      </w:r>
      <w:r>
        <w:rPr>
          <w:sz w:val="28"/>
          <w:szCs w:val="28"/>
          <w:highlight w:val="none"/>
        </w:rPr>
        <w:t xml:space="preserve">.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884"/>
        <w:jc w:val="both"/>
        <w:tabs>
          <w:tab w:val="left" w:pos="567" w:leader="none"/>
        </w:tabs>
        <w:rPr>
          <w:highlight w:val="none"/>
        </w:rPr>
      </w:pPr>
      <w:r>
        <w:rPr>
          <w:sz w:val="28"/>
          <w:szCs w:val="28"/>
          <w:highlight w:val="none"/>
        </w:rPr>
        <w:t xml:space="preserve">        </w:t>
      </w:r>
      <w:r>
        <w:rPr>
          <w:sz w:val="28"/>
          <w:szCs w:val="28"/>
          <w:highlight w:val="white"/>
        </w:rPr>
        <w:t xml:space="preserve">Акты, подготовленные по результатам внешней проверки годовой бюджетной отчетности за 2023 год, направлены составителям для устранения нарушений, для сведения и работы.  В заключениях было отмечено наличие нарушений, в т.ч. требований инструкции </w:t>
      </w:r>
      <w:r>
        <w:rPr>
          <w:sz w:val="28"/>
          <w:szCs w:val="28"/>
          <w:highlight w:val="white"/>
        </w:rPr>
        <w:t xml:space="preserve">о порядке составления и предста</w:t>
      </w:r>
      <w:r>
        <w:rPr>
          <w:sz w:val="28"/>
          <w:szCs w:val="28"/>
          <w:highlight w:val="white"/>
        </w:rPr>
        <w:t xml:space="preserve">вления годовой, квартальной и месячной отчетности об исполнении бюджетов бюджетной системы РФ, утвержденной приказом Министерства финансов Российской Федерации от 28.12.2010 №191н, сформулированы предложения по соблюдению законодательства в сфере  закупок.</w:t>
      </w:r>
      <w:r>
        <w:rPr>
          <w:highlight w:val="none"/>
        </w:rPr>
      </w:r>
      <w:r>
        <w:rPr>
          <w:highlight w:val="none"/>
        </w:rPr>
      </w:r>
    </w:p>
    <w:p>
      <w:pPr>
        <w:pStyle w:val="894"/>
        <w:ind w:right="0" w:firstLine="0"/>
        <w:jc w:val="both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Ревизионной комиссией ВМР в 2024 году</w:t>
      </w:r>
      <w:r>
        <w:rPr>
          <w:rFonts w:ascii="Times New Roman" w:hAnsi="Times New Roman" w:cs="Times New Roman"/>
          <w:sz w:val="28"/>
          <w:szCs w:val="28"/>
        </w:rPr>
        <w:t xml:space="preserve"> (по результатам контрольных мероприятий) предложено объектам контроля к устранению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62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нарушения на сумму 3659,9 тыс.рублей. Направлены предложения по проведению</w:t>
      </w:r>
      <w:r>
        <w:rPr>
          <w:rFonts w:ascii="Times New Roman" w:hAnsi="Times New Roman" w:cs="Times New Roman"/>
          <w:sz w:val="28"/>
          <w:szCs w:val="28"/>
        </w:rPr>
        <w:t xml:space="preserve"> претензионной работы с поставщиками и, как следствие их восстановление в качестве пени и штрафов в бюджет района. По результатам контрольных мероприятий руководителям о</w:t>
      </w:r>
      <w:r>
        <w:rPr>
          <w:rFonts w:ascii="Times New Roman" w:hAnsi="Times New Roman" w:cs="Times New Roman"/>
          <w:sz w:val="28"/>
          <w:szCs w:val="28"/>
        </w:rPr>
        <w:t xml:space="preserve">б</w:t>
      </w:r>
      <w:r>
        <w:rPr>
          <w:rFonts w:ascii="Times New Roman" w:hAnsi="Times New Roman" w:cs="Times New Roman"/>
          <w:sz w:val="28"/>
          <w:szCs w:val="28"/>
        </w:rPr>
        <w:t xml:space="preserve">ъектов контроля направлено 6 представлений с 23 предложениями и 10 информационных писем с 37 предложениями об устранении выявленных нарушений и недостатков. Направленные предложения объектами контроля рассмотрены, приняты к исполнению, частично устранены.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tabs>
          <w:tab w:val="left" w:pos="0" w:leader="none"/>
          <w:tab w:val="left" w:pos="567" w:leader="none"/>
          <w:tab w:val="left" w:pos="709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       В Ревизионную комиссию ВМР от руководителей всех проверенных объектов контроля поступила информация о р</w:t>
      </w:r>
      <w:r>
        <w:rPr>
          <w:sz w:val="28"/>
          <w:szCs w:val="28"/>
        </w:rPr>
        <w:t xml:space="preserve">асс</w:t>
      </w:r>
      <w:r>
        <w:rPr>
          <w:sz w:val="28"/>
          <w:szCs w:val="28"/>
        </w:rPr>
        <w:t xml:space="preserve">мотрении представлений и информационных писем, предложений об устранении нарушений по выявленным фактам, в том числе о принимаемых мерах по внесению изменений в муниципальные правовые акты. Согласно этой информации, по состоянию на 01 января 2024 года 93,5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</w:rPr>
        <w:t xml:space="preserve">% всех нарушений и недостатков устранены. Приняты меры по установлению контроля, в целях дальнейшего недопущения нарушений законодательства в работе. Устранены нарушения по мероприятиям прошлых лет.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tabs>
          <w:tab w:val="left" w:pos="0" w:leader="none"/>
          <w:tab w:val="left" w:pos="567" w:leader="none"/>
          <w:tab w:val="left" w:pos="709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       По результатам рассмотрения актов проверок и представлений к дисциплинарной ответственности привлечено 1 должностное (ответственное) лицо, 2 лицам вынесены предупреждения.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94"/>
        <w:ind w:right="0" w:firstLine="0"/>
        <w:jc w:val="both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Нарушения отражены </w:t>
      </w:r>
      <w:r>
        <w:rPr>
          <w:rFonts w:ascii="Times New Roman" w:hAnsi="Times New Roman" w:cs="Times New Roman"/>
          <w:sz w:val="28"/>
          <w:szCs w:val="28"/>
        </w:rPr>
        <w:t xml:space="preserve">в актах и отчётах. Отчеты о контрольных мероприятиях направлены Главе Вытегорского муниципального района. Материалы проверок, по которым выявлены нарушения бюджетного законодательства, направлены в Прокуратуру для правовой оценки действий должностных лиц.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94"/>
        <w:ind w:right="0" w:firstLine="0"/>
        <w:jc w:val="both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По результатам рассмотрения материалов контрольных мероприятий: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94"/>
        <w:ind w:right="0" w:firstLine="0"/>
        <w:jc w:val="both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Ревизионной комиссией в 2024 году административные дела о правонарушениях не заводились. Протокола не составлялись.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94"/>
        <w:ind w:right="0" w:firstLine="0"/>
        <w:jc w:val="both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Прокуратура района направила 1 представление Руководителю объекта.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tabs>
          <w:tab w:val="left" w:pos="567" w:leader="none"/>
        </w:tabs>
        <w:rPr>
          <w:highlight w:val="white"/>
        </w:rPr>
      </w:pPr>
      <w:r>
        <w:rPr>
          <w:highlight w:val="none"/>
        </w:rPr>
      </w:r>
      <w:r>
        <w:rPr>
          <w:highlight w:val="white"/>
        </w:rPr>
      </w:r>
      <w:r>
        <w:rPr>
          <w:highlight w:val="white"/>
        </w:rPr>
      </w:r>
    </w:p>
    <w:p>
      <w:pPr>
        <w:pStyle w:val="884"/>
        <w:jc w:val="center"/>
        <w:rPr>
          <w:b/>
          <w:bCs/>
          <w:sz w:val="28"/>
          <w:szCs w:val="28"/>
          <w:highlight w:val="none"/>
        </w:rPr>
      </w:pPr>
      <w:r>
        <w:rPr>
          <w:b/>
          <w:sz w:val="28"/>
          <w:szCs w:val="28"/>
        </w:rPr>
        <w:t xml:space="preserve">3.</w:t>
      </w:r>
      <w:r>
        <w:rPr>
          <w:b/>
          <w:sz w:val="28"/>
          <w:szCs w:val="28"/>
        </w:rPr>
        <w:t xml:space="preserve"> Экспертно-аналитическая деятельность</w:t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jc w:val="center"/>
        <w:rPr>
          <w:b/>
          <w:bCs/>
          <w:sz w:val="28"/>
          <w:szCs w:val="28"/>
          <w:highlight w:val="none"/>
        </w:rPr>
      </w:pP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pStyle w:val="884"/>
        <w:jc w:val="both"/>
        <w:tabs>
          <w:tab w:val="left" w:pos="567" w:leader="none"/>
        </w:tabs>
        <w:rPr>
          <w:sz w:val="28"/>
          <w:szCs w:val="28"/>
          <w:highlight w:val="none"/>
        </w:rPr>
      </w:pPr>
      <w:r>
        <w:rPr>
          <w:sz w:val="28"/>
          <w:szCs w:val="28"/>
        </w:rPr>
        <w:tab/>
        <w:t xml:space="preserve">Экспертно-</w:t>
      </w:r>
      <w:r>
        <w:rPr>
          <w:sz w:val="28"/>
          <w:szCs w:val="28"/>
        </w:rPr>
        <w:t xml:space="preserve">анали</w:t>
      </w:r>
      <w:r>
        <w:rPr>
          <w:sz w:val="28"/>
          <w:szCs w:val="28"/>
        </w:rPr>
        <w:t xml:space="preserve">тические работа 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2024</w:t>
      </w:r>
      <w:r>
        <w:rPr>
          <w:sz w:val="28"/>
          <w:szCs w:val="28"/>
        </w:rPr>
        <w:t xml:space="preserve"> году была направлена</w:t>
      </w:r>
      <w:r>
        <w:rPr>
          <w:sz w:val="28"/>
          <w:szCs w:val="28"/>
        </w:rPr>
        <w:t xml:space="preserve"> на обеспечение единой систем</w:t>
      </w:r>
      <w:r>
        <w:rPr>
          <w:sz w:val="28"/>
          <w:szCs w:val="28"/>
        </w:rPr>
        <w:t xml:space="preserve">ы контроля, реализуемого на </w:t>
      </w:r>
      <w:r>
        <w:rPr>
          <w:sz w:val="28"/>
          <w:szCs w:val="28"/>
        </w:rPr>
        <w:t xml:space="preserve">стадии </w:t>
      </w:r>
      <w:r>
        <w:rPr>
          <w:sz w:val="28"/>
          <w:szCs w:val="28"/>
        </w:rPr>
        <w:t xml:space="preserve">текущего контроля за исполнением бюджета района и бюджетов пос</w:t>
      </w:r>
      <w:r>
        <w:rPr>
          <w:sz w:val="28"/>
          <w:szCs w:val="28"/>
        </w:rPr>
        <w:t xml:space="preserve">елений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2024</w:t>
      </w:r>
      <w:r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у.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непосредственной р</w:t>
      </w:r>
      <w:r>
        <w:rPr>
          <w:sz w:val="28"/>
          <w:szCs w:val="28"/>
        </w:rPr>
        <w:t xml:space="preserve">еализации</w:t>
      </w:r>
      <w:r>
        <w:rPr>
          <w:sz w:val="28"/>
          <w:szCs w:val="28"/>
        </w:rPr>
        <w:t xml:space="preserve"> задач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в отчетном периоде</w:t>
      </w:r>
      <w:r>
        <w:rPr>
          <w:sz w:val="28"/>
          <w:szCs w:val="28"/>
        </w:rPr>
        <w:t xml:space="preserve"> проведено 365 </w:t>
      </w:r>
      <w:r>
        <w:rPr>
          <w:sz w:val="28"/>
          <w:szCs w:val="28"/>
        </w:rPr>
        <w:t xml:space="preserve">экспертно-аналитических</w:t>
      </w:r>
      <w:r>
        <w:rPr>
          <w:sz w:val="28"/>
          <w:szCs w:val="28"/>
        </w:rPr>
        <w:t xml:space="preserve"> мероприяти</w:t>
      </w:r>
      <w:r>
        <w:rPr>
          <w:sz w:val="28"/>
          <w:szCs w:val="28"/>
        </w:rPr>
        <w:t xml:space="preserve">й, в том числе: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884"/>
        <w:ind w:firstLine="567"/>
        <w:jc w:val="both"/>
        <w:tabs>
          <w:tab w:val="left" w:pos="567" w:leader="none"/>
        </w:tabs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- анализ исполнения бюджетов за 2023 год (проекты решений представительных органов) – 9. Объектов анализа 9. Сумма средств, охваченных экспертно-аналитич</w:t>
      </w:r>
      <w:r>
        <w:rPr>
          <w:sz w:val="28"/>
          <w:szCs w:val="28"/>
        </w:rPr>
        <w:t xml:space="preserve">ескими мероприятиями – 2095103,5 тыс.рублей. Выявлено 10 </w:t>
      </w:r>
      <w:r>
        <w:rPr>
          <w:sz w:val="28"/>
          <w:szCs w:val="28"/>
        </w:rPr>
        <w:t xml:space="preserve">нарушений бюджетного</w:t>
      </w:r>
      <w:r>
        <w:rPr>
          <w:sz w:val="28"/>
          <w:szCs w:val="28"/>
        </w:rPr>
        <w:t xml:space="preserve"> законодательства  на сумму 0,0</w:t>
      </w:r>
      <w:r>
        <w:rPr>
          <w:sz w:val="28"/>
          <w:szCs w:val="28"/>
        </w:rPr>
        <w:t xml:space="preserve"> тыс.рублей</w:t>
      </w:r>
      <w:r>
        <w:rPr>
          <w:sz w:val="28"/>
          <w:szCs w:val="28"/>
        </w:rPr>
        <w:t xml:space="preserve"> и 18 недостатков, в том числе 17 фактов</w:t>
      </w:r>
      <w:r>
        <w:rPr>
          <w:sz w:val="28"/>
          <w:szCs w:val="28"/>
        </w:rPr>
        <w:t xml:space="preserve"> расхо</w:t>
      </w:r>
      <w:r>
        <w:rPr>
          <w:sz w:val="28"/>
          <w:szCs w:val="28"/>
        </w:rPr>
        <w:t xml:space="preserve">дования бюджетных средств (554,7 </w:t>
      </w:r>
      <w:r>
        <w:rPr>
          <w:sz w:val="28"/>
          <w:szCs w:val="28"/>
        </w:rPr>
        <w:t xml:space="preserve">тыс.рублей),  не отвечающих принципу эффективности. По результатам экспертизы все проекты рекомендованы к рассмотрению в представительных органах;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884"/>
        <w:ind w:firstLine="567"/>
        <w:jc w:val="both"/>
        <w:tabs>
          <w:tab w:val="left" w:pos="567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- анализ отчетов об исполнении бюджетов за 1 квартал 2024 года (постановления Администраций) – 9. Объектов анализа – 9. Сумма средств, охваченных экспертно-аналити</w:t>
      </w:r>
      <w:r>
        <w:rPr>
          <w:sz w:val="28"/>
          <w:szCs w:val="28"/>
        </w:rPr>
        <w:t xml:space="preserve">ческими мероприятиями – 339655,8</w:t>
      </w:r>
      <w:r>
        <w:rPr>
          <w:sz w:val="28"/>
          <w:szCs w:val="28"/>
        </w:rPr>
        <w:t xml:space="preserve"> тыс.рублей.  По ре</w:t>
      </w:r>
      <w:r>
        <w:rPr>
          <w:sz w:val="28"/>
          <w:szCs w:val="28"/>
        </w:rPr>
        <w:t xml:space="preserve">зультатам экспертизы нарушений</w:t>
      </w:r>
      <w:r>
        <w:rPr>
          <w:sz w:val="28"/>
          <w:szCs w:val="28"/>
        </w:rPr>
        <w:t xml:space="preserve"> бюджетного законодательства</w:t>
      </w:r>
      <w:r>
        <w:rPr>
          <w:sz w:val="28"/>
          <w:szCs w:val="28"/>
        </w:rPr>
        <w:t xml:space="preserve"> не выявлено.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567"/>
        <w:jc w:val="both"/>
        <w:tabs>
          <w:tab w:val="left" w:pos="567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 Выявлен 1 недостаток - поправки технического характера. По результатам анализа 9</w:t>
      </w:r>
      <w:r>
        <w:rPr>
          <w:sz w:val="28"/>
          <w:szCs w:val="28"/>
        </w:rPr>
        <w:t xml:space="preserve"> отчетов об исполнении бюджетов за 1 квартал 2024 года были рекомендованы к рассмотрению представительным органам;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4"/>
        <w:ind w:firstLine="567"/>
        <w:jc w:val="both"/>
        <w:tabs>
          <w:tab w:val="left" w:pos="567" w:leader="none"/>
        </w:tabs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- анализ отчетов об исполнении бюджетов за 1 полугодие 2024 года (постановления Администраций) – 9. Объектов анализа – 9. Сумма средств, охваченных экспертно-аналити</w:t>
      </w:r>
      <w:r>
        <w:rPr>
          <w:sz w:val="28"/>
          <w:szCs w:val="28"/>
        </w:rPr>
        <w:t xml:space="preserve">ческими мероприятиями –875245,2</w:t>
      </w:r>
      <w:r>
        <w:rPr>
          <w:sz w:val="28"/>
          <w:szCs w:val="28"/>
        </w:rPr>
        <w:t xml:space="preserve"> тыс.рублей.  По ре</w:t>
      </w:r>
      <w:r>
        <w:rPr>
          <w:sz w:val="28"/>
          <w:szCs w:val="28"/>
        </w:rPr>
        <w:t xml:space="preserve">зультатам экспертизы нарушений</w:t>
      </w:r>
      <w:r>
        <w:rPr>
          <w:sz w:val="28"/>
          <w:szCs w:val="28"/>
        </w:rPr>
        <w:t xml:space="preserve"> бюджетного законодательства</w:t>
      </w:r>
      <w:r>
        <w:rPr>
          <w:sz w:val="28"/>
          <w:szCs w:val="28"/>
        </w:rPr>
        <w:t xml:space="preserve"> не выявлено.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Выявлено </w:t>
      </w:r>
      <w:r>
        <w:rPr>
          <w:sz w:val="28"/>
          <w:szCs w:val="28"/>
        </w:rPr>
        <w:t xml:space="preserve">3 недостатка, в том числе 3 факта</w:t>
      </w:r>
      <w:r>
        <w:rPr>
          <w:sz w:val="28"/>
          <w:szCs w:val="28"/>
        </w:rPr>
        <w:t xml:space="preserve"> расхо</w:t>
      </w:r>
      <w:r>
        <w:rPr>
          <w:sz w:val="28"/>
          <w:szCs w:val="28"/>
        </w:rPr>
        <w:t xml:space="preserve">дования бюджетных средств (529,5 </w:t>
      </w:r>
      <w:r>
        <w:rPr>
          <w:sz w:val="28"/>
          <w:szCs w:val="28"/>
        </w:rPr>
        <w:t xml:space="preserve">тыс.рублей),  не отвечающих принципу эффективности. </w:t>
      </w:r>
      <w:r>
        <w:rPr>
          <w:sz w:val="28"/>
          <w:szCs w:val="28"/>
        </w:rPr>
        <w:t xml:space="preserve">По результатам анализа 9</w:t>
      </w:r>
      <w:r>
        <w:rPr>
          <w:sz w:val="28"/>
          <w:szCs w:val="28"/>
        </w:rPr>
        <w:t xml:space="preserve"> отчетов об исполнении бюджетов за 1 полугодие 2024 года были рекомендованы к рассмотрению представительным органам;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884"/>
        <w:ind w:firstLine="567"/>
        <w:jc w:val="both"/>
        <w:tabs>
          <w:tab w:val="left" w:pos="567" w:leader="none"/>
        </w:tabs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- анализ отчетов об исполнении бюджетов за 9 месяцев 2024 года (постановления Администраций) – 9. Объектов анализа – 9. Сумма средств, охваченных экспертно-аналити</w:t>
      </w:r>
      <w:r>
        <w:rPr>
          <w:sz w:val="28"/>
          <w:szCs w:val="28"/>
        </w:rPr>
        <w:t xml:space="preserve">ческими мероприятиями –1461006,0</w:t>
      </w:r>
      <w:r>
        <w:rPr>
          <w:sz w:val="28"/>
          <w:szCs w:val="28"/>
        </w:rPr>
        <w:t xml:space="preserve"> тыс.рублей.  По ре</w:t>
      </w:r>
      <w:r>
        <w:rPr>
          <w:sz w:val="28"/>
          <w:szCs w:val="28"/>
        </w:rPr>
        <w:t xml:space="preserve">зультатам экспертизы нарушений</w:t>
      </w:r>
      <w:r>
        <w:rPr>
          <w:sz w:val="28"/>
          <w:szCs w:val="28"/>
        </w:rPr>
        <w:t xml:space="preserve"> бюджетного законодательства</w:t>
      </w:r>
      <w:r>
        <w:rPr>
          <w:sz w:val="28"/>
          <w:szCs w:val="28"/>
        </w:rPr>
        <w:t xml:space="preserve"> не выявлено.</w:t>
      </w:r>
      <w:r>
        <w:rPr>
          <w:sz w:val="28"/>
          <w:szCs w:val="28"/>
          <w:highlight w:val="none"/>
        </w:rPr>
        <w:t xml:space="preserve"> </w:t>
      </w:r>
      <w:r>
        <w:rPr>
          <w:sz w:val="28"/>
          <w:szCs w:val="28"/>
        </w:rPr>
        <w:t xml:space="preserve">Выявлено </w:t>
      </w:r>
      <w:r>
        <w:rPr>
          <w:sz w:val="28"/>
          <w:szCs w:val="28"/>
        </w:rPr>
        <w:t xml:space="preserve">3 недостатка, в том числе 3 факта</w:t>
      </w:r>
      <w:r>
        <w:rPr>
          <w:sz w:val="28"/>
          <w:szCs w:val="28"/>
        </w:rPr>
        <w:t xml:space="preserve"> расхо</w:t>
      </w:r>
      <w:r>
        <w:rPr>
          <w:sz w:val="28"/>
          <w:szCs w:val="28"/>
        </w:rPr>
        <w:t xml:space="preserve">дования бюджетных средств (892,1 </w:t>
      </w:r>
      <w:r>
        <w:rPr>
          <w:sz w:val="28"/>
          <w:szCs w:val="28"/>
        </w:rPr>
        <w:t xml:space="preserve">тыс.рублей),  не отвечающих принципу эффективности.</w:t>
      </w:r>
      <w:r>
        <w:rPr>
          <w:sz w:val="28"/>
          <w:szCs w:val="28"/>
        </w:rPr>
        <w:t xml:space="preserve"> По результатам анализа 9</w:t>
      </w:r>
      <w:r>
        <w:rPr>
          <w:sz w:val="28"/>
          <w:szCs w:val="28"/>
        </w:rPr>
        <w:t xml:space="preserve"> отчетов об исполнении бюджетов за 9 месяцев 2024 года были рекомендованы к рассмотрению представительным органам;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884"/>
        <w:ind w:firstLine="567"/>
        <w:jc w:val="both"/>
        <w:tabs>
          <w:tab w:val="left" w:pos="567" w:leader="none"/>
        </w:tabs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экспертиза </w:t>
      </w:r>
      <w:r>
        <w:rPr>
          <w:sz w:val="28"/>
          <w:szCs w:val="28"/>
        </w:rPr>
        <w:t xml:space="preserve">проект</w:t>
      </w:r>
      <w:r>
        <w:rPr>
          <w:sz w:val="28"/>
          <w:szCs w:val="28"/>
        </w:rPr>
        <w:t xml:space="preserve">ов</w:t>
      </w:r>
      <w:r>
        <w:rPr>
          <w:sz w:val="28"/>
          <w:szCs w:val="28"/>
        </w:rPr>
        <w:t xml:space="preserve"> решений Представительного Собрания Вытегорского</w:t>
      </w:r>
      <w:r>
        <w:rPr>
          <w:sz w:val="28"/>
          <w:szCs w:val="28"/>
        </w:rPr>
        <w:t xml:space="preserve"> муниципального района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Советов муниципальных образований района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внесении изменений в бюджеты,</w:t>
      </w:r>
      <w:r>
        <w:rPr>
          <w:sz w:val="28"/>
          <w:szCs w:val="28"/>
        </w:rPr>
        <w:t xml:space="preserve"> подготовка заключений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</w:t>
      </w:r>
      <w:r>
        <w:rPr>
          <w:sz w:val="28"/>
          <w:szCs w:val="28"/>
        </w:rPr>
        <w:t xml:space="preserve"> 54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меньше на 4 экспертизы аналогичного периода прошлого года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 экспертизы – 54.</w:t>
      </w:r>
      <w:r>
        <w:rPr>
          <w:sz w:val="28"/>
          <w:szCs w:val="28"/>
        </w:rPr>
        <w:t xml:space="preserve"> Сумма средств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охваченных экспертно</w:t>
      </w:r>
      <w:r>
        <w:rPr>
          <w:sz w:val="28"/>
          <w:szCs w:val="28"/>
        </w:rPr>
        <w:t xml:space="preserve">-аналит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ческими мероприятиями – 685065,4</w:t>
      </w:r>
      <w:r>
        <w:rPr>
          <w:sz w:val="28"/>
          <w:szCs w:val="28"/>
        </w:rPr>
        <w:t xml:space="preserve"> тыс.рублей. </w:t>
      </w:r>
      <w:r>
        <w:rPr>
          <w:sz w:val="28"/>
          <w:szCs w:val="28"/>
        </w:rPr>
        <w:t xml:space="preserve">Н</w:t>
      </w:r>
      <w:r>
        <w:rPr>
          <w:sz w:val="28"/>
          <w:szCs w:val="28"/>
        </w:rPr>
        <w:t xml:space="preserve">арушений</w:t>
      </w:r>
      <w:r>
        <w:rPr>
          <w:sz w:val="28"/>
          <w:szCs w:val="28"/>
        </w:rPr>
        <w:t xml:space="preserve"> бюджетного законодательства</w:t>
      </w:r>
      <w:r>
        <w:rPr>
          <w:sz w:val="28"/>
          <w:szCs w:val="28"/>
        </w:rPr>
        <w:t xml:space="preserve"> в проектах решений не выявлено.</w:t>
      </w:r>
      <w:r>
        <w:rPr>
          <w:sz w:val="28"/>
          <w:szCs w:val="28"/>
        </w:rPr>
        <w:t xml:space="preserve"> Выявлено 4 факта </w:t>
      </w:r>
      <w:r>
        <w:rPr>
          <w:sz w:val="28"/>
          <w:szCs w:val="28"/>
        </w:rPr>
        <w:t xml:space="preserve">планирования расхо</w:t>
      </w:r>
      <w:r>
        <w:rPr>
          <w:sz w:val="28"/>
          <w:szCs w:val="28"/>
        </w:rPr>
        <w:t xml:space="preserve">дования бюджетных средств (962,1 </w:t>
      </w:r>
      <w:r>
        <w:rPr>
          <w:sz w:val="28"/>
          <w:szCs w:val="28"/>
        </w:rPr>
        <w:t xml:space="preserve">тыс.рублей),  не отвечающих принципу эффективности.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Ревизионной комиссией по результатам экспертизы рекомендовано принять решение об изменении в </w:t>
      </w:r>
      <w:r>
        <w:rPr>
          <w:sz w:val="28"/>
          <w:szCs w:val="28"/>
        </w:rPr>
        <w:t xml:space="preserve">бюджеты – 54 </w:t>
      </w:r>
      <w:r>
        <w:rPr>
          <w:sz w:val="28"/>
          <w:szCs w:val="28"/>
        </w:rPr>
        <w:t xml:space="preserve">(100,0 %);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firstLine="567"/>
        <w:jc w:val="both"/>
        <w:tabs>
          <w:tab w:val="left" w:pos="567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- подготовлено 18 заключений на проекты решений представительных органов о бюджете на 2025 год и плановый период 2026 и 2027 годов. Сумма охваченных эксперт</w:t>
      </w:r>
      <w:r>
        <w:rPr>
          <w:sz w:val="28"/>
          <w:szCs w:val="28"/>
        </w:rPr>
        <w:t xml:space="preserve">изой средств составила 4216758,4 тыс.рублей. По результатам экспертизы выявлено два факта нарушения бюджетного законодательства. Недостатков в проектах решений при планировании бюджета выявлено 3. Рекомендовано к рассмотрению 18 (100,0 %) проектов решений;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4"/>
        <w:ind w:firstLine="567"/>
        <w:jc w:val="both"/>
        <w:tabs>
          <w:tab w:val="left" w:pos="567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- 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отчетном периоде</w:t>
      </w:r>
      <w:r>
        <w:rPr>
          <w:sz w:val="28"/>
          <w:szCs w:val="28"/>
        </w:rPr>
        <w:t xml:space="preserve"> 2024</w:t>
      </w:r>
      <w:r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на эксп</w:t>
      </w:r>
      <w:r>
        <w:rPr>
          <w:sz w:val="28"/>
          <w:szCs w:val="28"/>
        </w:rPr>
        <w:t xml:space="preserve">ертизу поступил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</w:t>
      </w:r>
      <w:r>
        <w:rPr>
          <w:sz w:val="28"/>
          <w:szCs w:val="28"/>
        </w:rPr>
        <w:t xml:space="preserve">а </w:t>
      </w:r>
      <w:r>
        <w:rPr>
          <w:sz w:val="28"/>
          <w:szCs w:val="28"/>
        </w:rPr>
        <w:t xml:space="preserve">нормативно-правовых актов</w:t>
      </w:r>
      <w:r>
        <w:rPr>
          <w:sz w:val="28"/>
          <w:szCs w:val="28"/>
        </w:rPr>
        <w:t xml:space="preserve"> (далее - НПА)</w:t>
      </w:r>
      <w:r>
        <w:rPr>
          <w:sz w:val="28"/>
          <w:szCs w:val="28"/>
        </w:rPr>
        <w:t xml:space="preserve"> решений Представительного Собрания Вытегорского</w:t>
      </w:r>
      <w:r>
        <w:rPr>
          <w:sz w:val="28"/>
          <w:szCs w:val="28"/>
        </w:rPr>
        <w:t xml:space="preserve"> муниципального района,</w:t>
      </w:r>
      <w:r>
        <w:rPr>
          <w:sz w:val="28"/>
          <w:szCs w:val="28"/>
        </w:rPr>
        <w:t xml:space="preserve"> Советов муниципальных образований района</w:t>
      </w:r>
      <w:r>
        <w:rPr>
          <w:sz w:val="28"/>
          <w:szCs w:val="28"/>
        </w:rPr>
        <w:t xml:space="preserve">, постановлений местных администраций</w:t>
      </w:r>
      <w:r>
        <w:rPr>
          <w:sz w:val="28"/>
          <w:szCs w:val="28"/>
        </w:rPr>
        <w:t xml:space="preserve"> (в</w:t>
      </w:r>
      <w:r>
        <w:rPr>
          <w:sz w:val="28"/>
          <w:szCs w:val="28"/>
        </w:rPr>
        <w:t xml:space="preserve"> 2023</w:t>
      </w:r>
      <w:r>
        <w:rPr>
          <w:sz w:val="28"/>
          <w:szCs w:val="28"/>
        </w:rPr>
        <w:t xml:space="preserve"> году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188)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Экспертизой охвачено – 203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хват средств бюджетов – 78357,2</w:t>
      </w:r>
      <w:r>
        <w:rPr>
          <w:sz w:val="28"/>
          <w:szCs w:val="28"/>
        </w:rPr>
        <w:t xml:space="preserve"> тыс.рублей.  В проектах решений и проектах по</w:t>
      </w:r>
      <w:r>
        <w:rPr>
          <w:sz w:val="28"/>
          <w:szCs w:val="28"/>
        </w:rPr>
        <w:t xml:space="preserve">становлений </w:t>
      </w:r>
      <w:r>
        <w:rPr>
          <w:sz w:val="28"/>
          <w:szCs w:val="28"/>
        </w:rPr>
        <w:t xml:space="preserve">выявлено 18</w:t>
      </w:r>
      <w:r>
        <w:rPr>
          <w:sz w:val="28"/>
          <w:szCs w:val="28"/>
        </w:rPr>
        <w:t xml:space="preserve"> факт</w:t>
      </w:r>
      <w:r>
        <w:rPr>
          <w:sz w:val="28"/>
          <w:szCs w:val="28"/>
        </w:rPr>
        <w:t xml:space="preserve">ов</w:t>
      </w:r>
      <w:r>
        <w:rPr>
          <w:sz w:val="28"/>
          <w:szCs w:val="28"/>
        </w:rPr>
        <w:t xml:space="preserve"> нарушения бюджетного законодательства</w:t>
      </w:r>
      <w:r>
        <w:rPr>
          <w:sz w:val="28"/>
          <w:szCs w:val="28"/>
        </w:rPr>
        <w:t xml:space="preserve">, а также</w:t>
      </w:r>
      <w:r>
        <w:rPr>
          <w:sz w:val="28"/>
          <w:szCs w:val="28"/>
        </w:rPr>
        <w:t xml:space="preserve"> 43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</w:rPr>
        <w:t xml:space="preserve">недостатка</w:t>
      </w:r>
      <w:r>
        <w:rPr>
          <w:sz w:val="28"/>
          <w:szCs w:val="28"/>
        </w:rPr>
        <w:t xml:space="preserve">, в основном технического характера.</w:t>
      </w:r>
      <w:r>
        <w:rPr>
          <w:sz w:val="28"/>
          <w:szCs w:val="28"/>
        </w:rPr>
        <w:t xml:space="preserve"> П</w:t>
      </w:r>
      <w:r>
        <w:rPr>
          <w:sz w:val="28"/>
          <w:szCs w:val="28"/>
        </w:rPr>
        <w:t xml:space="preserve">о результатам экспертизы</w:t>
      </w:r>
      <w:r>
        <w:rPr>
          <w:sz w:val="28"/>
          <w:szCs w:val="28"/>
        </w:rPr>
        <w:t xml:space="preserve"> 157</w:t>
      </w:r>
      <w:r>
        <w:rPr>
          <w:sz w:val="28"/>
          <w:szCs w:val="28"/>
        </w:rPr>
        <w:t xml:space="preserve"> проектов</w:t>
      </w:r>
      <w:r>
        <w:rPr>
          <w:sz w:val="28"/>
          <w:szCs w:val="28"/>
        </w:rPr>
        <w:t xml:space="preserve"> НПА </w:t>
      </w:r>
      <w:r>
        <w:rPr>
          <w:sz w:val="28"/>
          <w:szCs w:val="28"/>
        </w:rPr>
        <w:t xml:space="preserve">(77,3</w:t>
      </w:r>
      <w:r>
        <w:rPr>
          <w:sz w:val="28"/>
          <w:szCs w:val="28"/>
        </w:rPr>
        <w:t xml:space="preserve"> %) </w:t>
      </w:r>
      <w:r>
        <w:rPr>
          <w:sz w:val="28"/>
          <w:szCs w:val="28"/>
        </w:rPr>
        <w:t xml:space="preserve">рекомендовано к рассмотрению представительными органами и орга</w:t>
      </w:r>
      <w:r>
        <w:rPr>
          <w:sz w:val="28"/>
          <w:szCs w:val="28"/>
        </w:rPr>
        <w:t xml:space="preserve">нами местного самоупр</w:t>
      </w:r>
      <w:r>
        <w:rPr>
          <w:sz w:val="28"/>
          <w:szCs w:val="28"/>
        </w:rPr>
        <w:t xml:space="preserve">авления, 7 проектов (3,5%) отклонено ввиду несоответствия их бюджетному законодательству, 39</w:t>
      </w:r>
      <w:r>
        <w:rPr>
          <w:sz w:val="28"/>
          <w:szCs w:val="28"/>
        </w:rPr>
        <w:t xml:space="preserve"> проект</w:t>
      </w:r>
      <w:r>
        <w:rPr>
          <w:sz w:val="28"/>
          <w:szCs w:val="28"/>
        </w:rPr>
        <w:t xml:space="preserve">ов </w:t>
      </w:r>
      <w:r>
        <w:rPr>
          <w:sz w:val="28"/>
          <w:szCs w:val="28"/>
        </w:rPr>
        <w:t xml:space="preserve">(19,2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%) </w:t>
      </w:r>
      <w:r>
        <w:rPr>
          <w:sz w:val="28"/>
          <w:szCs w:val="28"/>
        </w:rPr>
        <w:t xml:space="preserve">рекомендовано направить на устранение </w:t>
      </w:r>
      <w:r>
        <w:rPr>
          <w:sz w:val="28"/>
          <w:szCs w:val="28"/>
        </w:rPr>
        <w:t xml:space="preserve">нарушений и </w:t>
      </w:r>
      <w:r>
        <w:rPr>
          <w:sz w:val="28"/>
          <w:szCs w:val="28"/>
        </w:rPr>
        <w:t xml:space="preserve">недостатков;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4"/>
        <w:ind w:firstLine="567"/>
        <w:jc w:val="both"/>
        <w:tabs>
          <w:tab w:val="left" w:pos="567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отчетном периоде</w:t>
      </w:r>
      <w:r>
        <w:rPr>
          <w:sz w:val="28"/>
          <w:szCs w:val="28"/>
        </w:rPr>
        <w:t xml:space="preserve"> 2024</w:t>
      </w:r>
      <w:r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на эксп</w:t>
      </w:r>
      <w:r>
        <w:rPr>
          <w:sz w:val="28"/>
          <w:szCs w:val="28"/>
        </w:rPr>
        <w:t xml:space="preserve">ертизу</w:t>
      </w:r>
      <w:r>
        <w:rPr>
          <w:sz w:val="28"/>
          <w:szCs w:val="28"/>
        </w:rPr>
        <w:t xml:space="preserve"> п</w:t>
      </w:r>
      <w:r>
        <w:rPr>
          <w:sz w:val="28"/>
          <w:szCs w:val="28"/>
        </w:rPr>
        <w:t xml:space="preserve">оступило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54 </w:t>
      </w:r>
      <w:r>
        <w:rPr>
          <w:sz w:val="28"/>
          <w:szCs w:val="28"/>
        </w:rPr>
        <w:t xml:space="preserve">проекта </w:t>
      </w:r>
      <w:r>
        <w:rPr>
          <w:sz w:val="28"/>
          <w:szCs w:val="28"/>
        </w:rPr>
        <w:t xml:space="preserve">постановлений о </w:t>
      </w:r>
      <w:r>
        <w:rPr>
          <w:sz w:val="28"/>
          <w:szCs w:val="28"/>
        </w:rPr>
        <w:t xml:space="preserve">муниципальных программах (в том числе о </w:t>
      </w:r>
      <w:r>
        <w:rPr>
          <w:sz w:val="28"/>
          <w:szCs w:val="28"/>
        </w:rPr>
        <w:t xml:space="preserve">внесении изменений в</w:t>
      </w:r>
      <w:r>
        <w:rPr>
          <w:sz w:val="28"/>
          <w:szCs w:val="28"/>
        </w:rPr>
        <w:t xml:space="preserve"> них) </w:t>
      </w:r>
      <w:r>
        <w:rPr>
          <w:sz w:val="28"/>
          <w:szCs w:val="28"/>
        </w:rPr>
        <w:t xml:space="preserve">(</w:t>
      </w:r>
      <w:r>
        <w:rPr>
          <w:sz w:val="28"/>
          <w:szCs w:val="28"/>
        </w:rPr>
        <w:t xml:space="preserve">за 2023</w:t>
      </w:r>
      <w:r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- 64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Экспертизой о</w:t>
      </w:r>
      <w:r>
        <w:rPr>
          <w:sz w:val="28"/>
          <w:szCs w:val="28"/>
        </w:rPr>
        <w:t xml:space="preserve">хвачено</w:t>
      </w:r>
      <w:r>
        <w:rPr>
          <w:sz w:val="28"/>
          <w:szCs w:val="28"/>
        </w:rPr>
        <w:t xml:space="preserve"> – 64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контроля</w:t>
      </w:r>
      <w:r>
        <w:rPr>
          <w:sz w:val="28"/>
          <w:szCs w:val="28"/>
        </w:rPr>
        <w:t xml:space="preserve"> (ответственных исполнителей программ)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хват средств бюдж</w:t>
      </w:r>
      <w:r>
        <w:rPr>
          <w:sz w:val="28"/>
          <w:szCs w:val="28"/>
        </w:rPr>
        <w:t xml:space="preserve">етов – 1029959,3 </w:t>
      </w:r>
      <w:r>
        <w:rPr>
          <w:sz w:val="28"/>
          <w:szCs w:val="28"/>
        </w:rPr>
        <w:t xml:space="preserve">тыс.рублей.  </w:t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проектах </w:t>
      </w:r>
      <w:r>
        <w:rPr>
          <w:sz w:val="28"/>
          <w:szCs w:val="28"/>
        </w:rPr>
        <w:t xml:space="preserve">постановлений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ыявлен</w:t>
      </w:r>
      <w:r>
        <w:rPr>
          <w:sz w:val="28"/>
          <w:szCs w:val="28"/>
        </w:rPr>
        <w:t xml:space="preserve">о 17</w:t>
      </w:r>
      <w:r>
        <w:rPr>
          <w:sz w:val="28"/>
          <w:szCs w:val="28"/>
        </w:rPr>
        <w:t xml:space="preserve"> факт</w:t>
      </w:r>
      <w:r>
        <w:rPr>
          <w:sz w:val="28"/>
          <w:szCs w:val="28"/>
        </w:rPr>
        <w:t xml:space="preserve">ов </w:t>
      </w:r>
      <w:r>
        <w:rPr>
          <w:sz w:val="28"/>
          <w:szCs w:val="28"/>
        </w:rPr>
        <w:t xml:space="preserve">нару</w:t>
      </w:r>
      <w:r>
        <w:rPr>
          <w:sz w:val="28"/>
          <w:szCs w:val="28"/>
        </w:rPr>
        <w:t xml:space="preserve">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порядков разработки, реализации и оценки эффективности реализации муниципальных программ</w:t>
      </w:r>
      <w:r>
        <w:rPr>
          <w:sz w:val="28"/>
          <w:szCs w:val="28"/>
        </w:rPr>
        <w:t xml:space="preserve"> и 41</w:t>
      </w:r>
      <w:r>
        <w:rPr>
          <w:sz w:val="28"/>
          <w:szCs w:val="28"/>
        </w:rPr>
        <w:t xml:space="preserve"> прочий недостаток</w:t>
      </w:r>
      <w:r>
        <w:rPr>
          <w:sz w:val="28"/>
          <w:szCs w:val="28"/>
        </w:rPr>
        <w:t xml:space="preserve"> при подготовке проектов постановлений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о результатам</w:t>
      </w:r>
      <w:r>
        <w:rPr>
          <w:sz w:val="28"/>
          <w:szCs w:val="28"/>
        </w:rPr>
        <w:t xml:space="preserve"> экспертизы</w:t>
      </w:r>
      <w:r>
        <w:rPr>
          <w:sz w:val="28"/>
          <w:szCs w:val="28"/>
        </w:rPr>
        <w:t xml:space="preserve"> проектов постановлений </w:t>
      </w:r>
      <w:r>
        <w:rPr>
          <w:sz w:val="28"/>
          <w:szCs w:val="28"/>
        </w:rPr>
        <w:t xml:space="preserve"> рекомендовано </w:t>
      </w:r>
      <w:r>
        <w:rPr>
          <w:sz w:val="28"/>
          <w:szCs w:val="28"/>
        </w:rPr>
        <w:t xml:space="preserve">к утверждению – 20 проектов (37,0</w:t>
      </w:r>
      <w:r>
        <w:rPr>
          <w:sz w:val="28"/>
          <w:szCs w:val="28"/>
        </w:rPr>
        <w:t xml:space="preserve">%)</w:t>
      </w:r>
      <w:r>
        <w:rPr>
          <w:sz w:val="28"/>
          <w:szCs w:val="28"/>
        </w:rPr>
        <w:t xml:space="preserve">, 4 проекта (7,4%) отклонены, 30 </w:t>
      </w:r>
      <w:r>
        <w:rPr>
          <w:sz w:val="28"/>
          <w:szCs w:val="28"/>
        </w:rPr>
        <w:t xml:space="preserve">проектов</w:t>
      </w:r>
      <w:r>
        <w:rPr>
          <w:sz w:val="28"/>
          <w:szCs w:val="28"/>
        </w:rPr>
        <w:t xml:space="preserve"> (55,6</w:t>
      </w:r>
      <w:r>
        <w:rPr>
          <w:sz w:val="28"/>
          <w:szCs w:val="28"/>
        </w:rPr>
        <w:t xml:space="preserve">%)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рекомендовано направить на устранение </w:t>
      </w:r>
      <w:r>
        <w:rPr>
          <w:sz w:val="28"/>
          <w:szCs w:val="28"/>
        </w:rPr>
        <w:t xml:space="preserve">нарушений и </w:t>
      </w:r>
      <w:r>
        <w:rPr>
          <w:sz w:val="28"/>
          <w:szCs w:val="28"/>
        </w:rPr>
        <w:t xml:space="preserve">недостатков.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tabs>
          <w:tab w:val="left" w:pos="567" w:leader="none"/>
        </w:tabs>
        <w:rPr>
          <w:sz w:val="16"/>
          <w:szCs w:val="16"/>
        </w:rPr>
      </w:pPr>
      <w:r>
        <w:rPr>
          <w:sz w:val="28"/>
          <w:szCs w:val="28"/>
        </w:rPr>
        <w:t xml:space="preserve">    Р</w:t>
      </w:r>
      <w:r>
        <w:rPr>
          <w:sz w:val="28"/>
          <w:szCs w:val="28"/>
        </w:rPr>
        <w:t xml:space="preserve">езультаты эк</w:t>
      </w:r>
      <w:r>
        <w:rPr>
          <w:sz w:val="28"/>
          <w:szCs w:val="28"/>
        </w:rPr>
        <w:t xml:space="preserve">спертизы НПА и муниципальных программ приведены в таблицах</w:t>
      </w:r>
      <w:r>
        <w:rPr>
          <w:sz w:val="28"/>
          <w:szCs w:val="28"/>
        </w:rPr>
        <w:t xml:space="preserve">:</w:t>
      </w:r>
      <w:r>
        <w:rPr>
          <w:sz w:val="16"/>
          <w:szCs w:val="16"/>
        </w:rPr>
      </w:r>
      <w:r>
        <w:rPr>
          <w:sz w:val="16"/>
          <w:szCs w:val="16"/>
        </w:rPr>
      </w:r>
    </w:p>
    <w:p>
      <w:pPr>
        <w:jc w:val="right"/>
        <w:tabs>
          <w:tab w:val="left" w:pos="567" w:leader="none"/>
        </w:tabs>
        <w:rPr>
          <w:sz w:val="16"/>
          <w:szCs w:val="16"/>
          <w:highlight w:val="none"/>
        </w:rPr>
      </w:pPr>
      <w:r>
        <w:rPr>
          <w:sz w:val="16"/>
          <w:szCs w:val="16"/>
        </w:rPr>
        <w:t xml:space="preserve">Таблица</w:t>
      </w:r>
      <w:r>
        <w:rPr>
          <w:sz w:val="16"/>
          <w:szCs w:val="16"/>
          <w:highlight w:val="none"/>
        </w:rPr>
      </w:r>
      <w:r>
        <w:rPr>
          <w:sz w:val="16"/>
          <w:szCs w:val="16"/>
          <w:highlight w:val="none"/>
        </w:rPr>
      </w: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3369"/>
        <w:gridCol w:w="1275"/>
        <w:gridCol w:w="993"/>
        <w:gridCol w:w="1134"/>
        <w:gridCol w:w="1134"/>
        <w:gridCol w:w="1134"/>
        <w:gridCol w:w="1134"/>
      </w:tblGrid>
      <w:tr>
        <w:tblPrEx/>
        <w:trPr/>
        <w:tc>
          <w:tcPr>
            <w:tcW w:w="3369" w:type="dxa"/>
            <w:vMerge w:val="restart"/>
            <w:textDirection w:val="lrTb"/>
            <w:noWrap w:val="false"/>
          </w:tcPr>
          <w:p>
            <w:pPr>
              <w:jc w:val="both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Рекомендации представительным органам по результатам экспертизы проектов НПА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275" w:type="dxa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2023 год 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Всего поступило НПА на экспертизу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gridSpan w:val="2"/>
            <w:tcW w:w="2127" w:type="dxa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из них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2024 год 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Всего поступило НПА на экспертизу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gridSpan w:val="2"/>
            <w:tcW w:w="2268" w:type="dxa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из них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/>
        <w:tc>
          <w:tcPr>
            <w:tcW w:w="3369" w:type="dxa"/>
            <w:vMerge w:val="continue"/>
            <w:textDirection w:val="lrTb"/>
            <w:noWrap w:val="false"/>
          </w:tcPr>
          <w:p>
            <w:pPr>
              <w:jc w:val="both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275" w:type="dxa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район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поселения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район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поселения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/>
        <w:tc>
          <w:tcPr>
            <w:tcW w:w="3369" w:type="dxa"/>
            <w:textDirection w:val="lrTb"/>
            <w:noWrap w:val="false"/>
          </w:tcPr>
          <w:p>
            <w:pPr>
              <w:jc w:val="both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Число проектов НПА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27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188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64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124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203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75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128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/>
        <w:tc>
          <w:tcPr>
            <w:tcW w:w="3369" w:type="dxa"/>
            <w:textDirection w:val="lrTb"/>
            <w:noWrap w:val="false"/>
          </w:tcPr>
          <w:p>
            <w:pPr>
              <w:jc w:val="both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Рекомендовано к принятию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27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149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63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157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91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/>
        <w:tc>
          <w:tcPr>
            <w:tcW w:w="3369" w:type="dxa"/>
            <w:textDirection w:val="lrTb"/>
            <w:noWrap w:val="false"/>
          </w:tcPr>
          <w:p>
            <w:pPr>
              <w:jc w:val="both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Доля проектов НПА соответствующих требованиям законодательства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27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79,3%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98,4 %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69,4 %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77,3%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88,0 %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71,1 %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/>
        <w:tc>
          <w:tcPr>
            <w:tcW w:w="3369" w:type="dxa"/>
            <w:textDirection w:val="lrTb"/>
            <w:noWrap w:val="false"/>
          </w:tcPr>
          <w:p>
            <w:pPr>
              <w:jc w:val="both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Рекомендовано отклонить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27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39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38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46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9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/>
        <w:tc>
          <w:tcPr>
            <w:tcW w:w="3369" w:type="dxa"/>
            <w:textDirection w:val="lrTb"/>
            <w:noWrap w:val="false"/>
          </w:tcPr>
          <w:p>
            <w:pPr>
              <w:jc w:val="both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Доля проектов НПА к отклонению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27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20,7 %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1,6 %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30,6 %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22,7 %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12,0 %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28,9 %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/>
        <w:tc>
          <w:tcPr>
            <w:tcW w:w="3369" w:type="dxa"/>
            <w:textDirection w:val="lrTb"/>
            <w:noWrap w:val="false"/>
          </w:tcPr>
          <w:p>
            <w:pPr>
              <w:jc w:val="both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Выявлено нарушений и недостатков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27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117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61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54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/>
        <w:tc>
          <w:tcPr>
            <w:tcW w:w="3369" w:type="dxa"/>
            <w:textDirection w:val="lrTb"/>
            <w:noWrap w:val="false"/>
          </w:tcPr>
          <w:p>
            <w:pPr>
              <w:jc w:val="both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Направлены предложения об устранении недостатков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27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60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53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109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28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81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/>
        <w:tc>
          <w:tcPr>
            <w:tcW w:w="3369" w:type="dxa"/>
            <w:textDirection w:val="lrTb"/>
            <w:noWrap w:val="false"/>
          </w:tcPr>
          <w:p>
            <w:pPr>
              <w:jc w:val="both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Охват бюджетных средств экспертизой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27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77019,1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37181,0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39838,1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78357,2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34535,6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43821,6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</w:tbl>
    <w:p>
      <w:pPr>
        <w:jc w:val="right"/>
        <w:tabs>
          <w:tab w:val="left" w:pos="567" w:leader="none"/>
        </w:tabs>
        <w:rPr>
          <w:sz w:val="16"/>
          <w:szCs w:val="16"/>
        </w:rPr>
      </w:pPr>
      <w:r>
        <w:rPr>
          <w:sz w:val="16"/>
          <w:szCs w:val="16"/>
        </w:rPr>
      </w:r>
      <w:r>
        <w:rPr>
          <w:sz w:val="16"/>
          <w:szCs w:val="16"/>
        </w:rPr>
      </w:r>
      <w:r>
        <w:rPr>
          <w:sz w:val="16"/>
          <w:szCs w:val="16"/>
        </w:rPr>
      </w:r>
    </w:p>
    <w:p>
      <w:pPr>
        <w:jc w:val="right"/>
        <w:tabs>
          <w:tab w:val="left" w:pos="567" w:leader="none"/>
        </w:tabs>
        <w:rPr>
          <w:sz w:val="16"/>
          <w:szCs w:val="16"/>
          <w:highlight w:val="none"/>
        </w:rPr>
      </w:pPr>
      <w:r>
        <w:rPr>
          <w:sz w:val="16"/>
          <w:szCs w:val="16"/>
        </w:rPr>
        <w:t xml:space="preserve">Таблица</w:t>
      </w:r>
      <w:r>
        <w:rPr>
          <w:sz w:val="16"/>
          <w:szCs w:val="16"/>
          <w:highlight w:val="none"/>
        </w:rPr>
      </w:r>
      <w:r>
        <w:rPr>
          <w:sz w:val="16"/>
          <w:szCs w:val="16"/>
          <w:highlight w:val="none"/>
        </w:rPr>
      </w:r>
    </w:p>
    <w:tbl>
      <w:tblPr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3170"/>
        <w:gridCol w:w="1418"/>
        <w:gridCol w:w="940"/>
        <w:gridCol w:w="1112"/>
        <w:gridCol w:w="1418"/>
        <w:gridCol w:w="1109"/>
        <w:gridCol w:w="1112"/>
      </w:tblGrid>
      <w:tr>
        <w:tblPrEx/>
        <w:trPr>
          <w:jc w:val="center"/>
        </w:trPr>
        <w:tc>
          <w:tcPr>
            <w:tcW w:w="3369" w:type="dxa"/>
            <w:vMerge w:val="restart"/>
            <w:textDirection w:val="lrTb"/>
            <w:noWrap w:val="false"/>
          </w:tcPr>
          <w:p>
            <w:pPr>
              <w:jc w:val="both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Рекомендации органам местного самоуправления по результатам финансово-экономической экспертизы проектов муниципальных программ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323" w:type="dxa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2023 год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Всего поступило проектов постановлений на экспертизу муниципальных программ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gridSpan w:val="2"/>
            <w:tcW w:w="2079" w:type="dxa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из них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2024 год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Всего поступило проектов постановлений на экспертизу муниципальных программ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gridSpan w:val="2"/>
            <w:tcW w:w="2268" w:type="dxa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из них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jc w:val="center"/>
        </w:trPr>
        <w:tc>
          <w:tcPr>
            <w:tcW w:w="3369" w:type="dxa"/>
            <w:vMerge w:val="continue"/>
            <w:textDirection w:val="lrTb"/>
            <w:noWrap w:val="false"/>
          </w:tcPr>
          <w:p>
            <w:pPr>
              <w:jc w:val="both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323" w:type="dxa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945" w:type="dxa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район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поселения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район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поселения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jc w:val="center"/>
        </w:trPr>
        <w:tc>
          <w:tcPr>
            <w:tcW w:w="3369" w:type="dxa"/>
            <w:textDirection w:val="lrTb"/>
            <w:noWrap w:val="false"/>
          </w:tcPr>
          <w:p>
            <w:pPr>
              <w:jc w:val="both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Число проектов постановлений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323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64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94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38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54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23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31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jc w:val="center"/>
        </w:trPr>
        <w:tc>
          <w:tcPr>
            <w:tcW w:w="3369" w:type="dxa"/>
            <w:textDirection w:val="lrTb"/>
            <w:noWrap w:val="false"/>
          </w:tcPr>
          <w:p>
            <w:pPr>
              <w:jc w:val="both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Рекомендовано к принятию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323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30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94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13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20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14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jc w:val="center"/>
        </w:trPr>
        <w:tc>
          <w:tcPr>
            <w:tcW w:w="3369" w:type="dxa"/>
            <w:textDirection w:val="lrTb"/>
            <w:noWrap w:val="false"/>
          </w:tcPr>
          <w:p>
            <w:pPr>
              <w:jc w:val="both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Доля проектов постановлений, соответствующих требованиям законодательства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323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47 %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94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65 %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34 %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37,0 %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60,9 %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19,4 %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jc w:val="center"/>
        </w:trPr>
        <w:tc>
          <w:tcPr>
            <w:tcW w:w="3369" w:type="dxa"/>
            <w:textDirection w:val="lrTb"/>
            <w:noWrap w:val="false"/>
          </w:tcPr>
          <w:p>
            <w:pPr>
              <w:jc w:val="both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Рекомендовано отклонить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323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34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94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9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25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34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9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25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jc w:val="center"/>
        </w:trPr>
        <w:tc>
          <w:tcPr>
            <w:tcW w:w="3369" w:type="dxa"/>
            <w:textDirection w:val="lrTb"/>
            <w:noWrap w:val="false"/>
          </w:tcPr>
          <w:p>
            <w:pPr>
              <w:jc w:val="both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Доля проектов постановлений к отклонению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323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53 %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94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35 %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66 %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63,0 %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39,1 %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80,6 %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jc w:val="center"/>
        </w:trPr>
        <w:tc>
          <w:tcPr>
            <w:tcW w:w="3369" w:type="dxa"/>
            <w:textDirection w:val="lrTb"/>
            <w:noWrap w:val="false"/>
          </w:tcPr>
          <w:p>
            <w:pPr>
              <w:jc w:val="both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Выявлено нарушений и недостатков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323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102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94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58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jc w:val="center"/>
        </w:trPr>
        <w:tc>
          <w:tcPr>
            <w:tcW w:w="3369" w:type="dxa"/>
            <w:textDirection w:val="lrTb"/>
            <w:noWrap w:val="false"/>
          </w:tcPr>
          <w:p>
            <w:pPr>
              <w:jc w:val="both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Направлены предложения об устранении недостатков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323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26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94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21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81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64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jc w:val="center"/>
          <w:trHeight w:val="386"/>
        </w:trPr>
        <w:tc>
          <w:tcPr>
            <w:tcW w:w="3369" w:type="dxa"/>
            <w:textDirection w:val="lrTb"/>
            <w:noWrap w:val="false"/>
          </w:tcPr>
          <w:p>
            <w:pPr>
              <w:jc w:val="both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Охват бюджетных средств экспертизой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323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2185128,3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94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1853781,2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331347,1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1029959,3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931306,9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98652,4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</w:tbl>
    <w:p>
      <w:pPr>
        <w:jc w:val="both"/>
        <w:tabs>
          <w:tab w:val="left" w:pos="567" w:leader="none"/>
        </w:tabs>
      </w:pPr>
      <w:r>
        <w:t xml:space="preserve">  </w:t>
      </w:r>
      <w:r/>
    </w:p>
    <w:p>
      <w:pPr>
        <w:jc w:val="right"/>
        <w:tabs>
          <w:tab w:val="left" w:pos="567" w:leader="none"/>
        </w:tabs>
        <w:rPr>
          <w:sz w:val="16"/>
          <w:szCs w:val="16"/>
        </w:rPr>
      </w:pPr>
      <w:r>
        <w:rPr>
          <w:sz w:val="16"/>
          <w:szCs w:val="16"/>
        </w:rPr>
        <w:t xml:space="preserve">Таблица</w:t>
      </w:r>
      <w:r>
        <w:rPr>
          <w:sz w:val="16"/>
          <w:szCs w:val="16"/>
        </w:rPr>
      </w:r>
      <w:r>
        <w:rPr>
          <w:sz w:val="16"/>
          <w:szCs w:val="16"/>
        </w:rPr>
      </w:r>
    </w:p>
    <w:tbl>
      <w:tblPr>
        <w:tblW w:w="103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709"/>
        <w:gridCol w:w="709"/>
        <w:gridCol w:w="807"/>
        <w:gridCol w:w="709"/>
        <w:gridCol w:w="709"/>
        <w:gridCol w:w="992"/>
        <w:gridCol w:w="851"/>
        <w:gridCol w:w="708"/>
        <w:gridCol w:w="993"/>
        <w:gridCol w:w="1275"/>
      </w:tblGrid>
      <w:tr>
        <w:tblPrEx/>
        <w:trPr/>
        <w:tc>
          <w:tcPr>
            <w:tcW w:w="1852" w:type="dxa"/>
            <w:textDirection w:val="lrTb"/>
            <w:noWrap w:val="false"/>
          </w:tcPr>
          <w:p>
            <w:pPr>
              <w:jc w:val="both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gridSpan w:val="3"/>
            <w:tcW w:w="2225" w:type="dxa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2022 год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gridSpan w:val="3"/>
            <w:tcW w:w="2410" w:type="dxa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2023 год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gridSpan w:val="3"/>
            <w:tcW w:w="2552" w:type="dxa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2024 год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1275" w:type="dxa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к уровню 2023 года  (+;-)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</w:tr>
      <w:tr>
        <w:tblPrEx/>
        <w:trPr/>
        <w:tc>
          <w:tcPr>
            <w:tcW w:w="1852" w:type="dxa"/>
            <w:textDirection w:val="lrTb"/>
            <w:noWrap w:val="false"/>
          </w:tcPr>
          <w:p>
            <w:pPr>
              <w:jc w:val="both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всего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район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807" w:type="dxa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поселения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всего</w:t>
            </w:r>
            <w:r>
              <w:rPr>
                <w:b/>
                <w:bCs/>
                <w:sz w:val="16"/>
                <w:szCs w:val="16"/>
              </w:rPr>
            </w:r>
            <w:r>
              <w:rPr>
                <w:b/>
                <w:bCs/>
                <w:sz w:val="16"/>
                <w:szCs w:val="16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район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поселения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851" w:type="dxa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всего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708" w:type="dxa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район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поселения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275" w:type="dxa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всего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/>
        <w:tc>
          <w:tcPr>
            <w:tcW w:w="1852" w:type="dxa"/>
            <w:textDirection w:val="lrTb"/>
            <w:noWrap w:val="false"/>
          </w:tcPr>
          <w:p>
            <w:pPr>
              <w:jc w:val="both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Поступило проектов НПА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210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49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807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161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188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64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124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851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203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708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75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128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27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+15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</w:tr>
      <w:tr>
        <w:tblPrEx/>
        <w:trPr/>
        <w:tc>
          <w:tcPr>
            <w:tcW w:w="1852" w:type="dxa"/>
            <w:textDirection w:val="lrTb"/>
            <w:noWrap w:val="false"/>
          </w:tcPr>
          <w:p>
            <w:pPr>
              <w:jc w:val="both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Рекомендовано к принятию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175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807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128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149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63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851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157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708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63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27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+8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</w:tr>
      <w:tr>
        <w:tblPrEx/>
        <w:trPr/>
        <w:tc>
          <w:tcPr>
            <w:tcW w:w="1852" w:type="dxa"/>
            <w:textDirection w:val="lrTb"/>
            <w:noWrap w:val="false"/>
          </w:tcPr>
          <w:p>
            <w:pPr>
              <w:jc w:val="both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Доля проектов НПА соответствующих требованиям законодательства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83,3%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95,9 %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807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79,5 %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79,2 %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98,4 %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69 %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851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77,3 %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708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84,0 %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67,2 %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27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-1,9 п.п.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</w:tr>
      <w:tr>
        <w:tblPrEx/>
        <w:trPr/>
        <w:tc>
          <w:tcPr>
            <w:tcW w:w="1852" w:type="dxa"/>
            <w:textDirection w:val="lrTb"/>
            <w:noWrap w:val="false"/>
          </w:tcPr>
          <w:p>
            <w:pPr>
              <w:jc w:val="both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Поступило проектов муниципальных программ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55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33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807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22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64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38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851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54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708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23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31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27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-10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</w:tr>
      <w:tr>
        <w:tblPrEx/>
        <w:trPr/>
        <w:tc>
          <w:tcPr>
            <w:tcW w:w="1852" w:type="dxa"/>
            <w:textDirection w:val="lrTb"/>
            <w:noWrap w:val="false"/>
          </w:tcPr>
          <w:p>
            <w:pPr>
              <w:jc w:val="both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Рекомендовано к принятию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35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25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807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30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13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851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20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708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14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27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-5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</w:tr>
      <w:tr>
        <w:tblPrEx/>
        <w:trPr/>
        <w:tc>
          <w:tcPr>
            <w:tcW w:w="1852" w:type="dxa"/>
            <w:textDirection w:val="lrTb"/>
            <w:noWrap w:val="false"/>
          </w:tcPr>
          <w:p>
            <w:pPr>
              <w:jc w:val="both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Доля проектов муниципальных программ соответствующих требованиям законодательства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63,6 %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75,8 %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807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45,4 %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46,9 %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65,4 %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34,2 %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851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37,0 %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708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60,9 %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19,4 %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27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567" w:leader="none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- 9,9 п.п.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</w:tr>
    </w:tbl>
    <w:p>
      <w:pPr>
        <w:pStyle w:val="884"/>
        <w:jc w:val="both"/>
        <w:tabs>
          <w:tab w:val="left" w:pos="567" w:leader="none"/>
        </w:tabs>
      </w:pPr>
      <w:r>
        <w:t xml:space="preserve">  </w:t>
      </w:r>
      <w:r>
        <w:rPr>
          <w:sz w:val="28"/>
          <w:szCs w:val="28"/>
        </w:rPr>
        <w:t xml:space="preserve">        </w:t>
      </w:r>
      <w:r/>
    </w:p>
    <w:p>
      <w:pPr>
        <w:ind w:firstLine="0"/>
        <w:jc w:val="both"/>
        <w:tabs>
          <w:tab w:val="left" w:pos="567" w:leader="none"/>
        </w:tabs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  <w:highlight w:val="white"/>
        </w:rPr>
        <w:t xml:space="preserve">По сравнению с 2023 </w:t>
      </w:r>
      <w:r>
        <w:rPr>
          <w:sz w:val="28"/>
          <w:szCs w:val="28"/>
          <w:highlight w:val="white"/>
        </w:rPr>
        <w:t xml:space="preserve">годом количество направляемых в Ревизионную комиссию ВМР для проведения экспертизы проектов НПА увеличилось на 8,0 %   </w:t>
      </w:r>
      <w:r>
        <w:rPr>
          <w:sz w:val="28"/>
          <w:szCs w:val="28"/>
        </w:rPr>
        <w:t xml:space="preserve">(15). Доля проектов рекомендованных Ревизионной комиссией к принятию без замечаний по сравнению с 2022-2023 годами сократилась до 77,3 % (в 2022 году – 83,3%, в 2023 год</w:t>
      </w:r>
      <w:r>
        <w:rPr>
          <w:sz w:val="28"/>
          <w:szCs w:val="28"/>
        </w:rPr>
        <w:t xml:space="preserve">у – 79,2</w:t>
      </w:r>
      <w:r>
        <w:rPr>
          <w:sz w:val="28"/>
          <w:szCs w:val="28"/>
        </w:rPr>
        <w:t xml:space="preserve"> %). </w:t>
      </w:r>
      <w:r>
        <w:rPr>
          <w:sz w:val="28"/>
          <w:szCs w:val="28"/>
        </w:rPr>
        <w:t xml:space="preserve"> По сравнению с 2023 г. снижение составило 1,9 процентных пункта. Доля проектов НПА, разработанных сельскими поселениями без нарушений и недостатков в 2023 году составляет 67,2% и отстает от проектов, направленных к рассмотрению на районном уровне (84,0%).</w:t>
      </w:r>
      <w:r>
        <w:rPr>
          <w:sz w:val="28"/>
          <w:szCs w:val="28"/>
          <w:highlight w:val="yellow"/>
        </w:rPr>
      </w:r>
      <w:r>
        <w:rPr>
          <w:sz w:val="28"/>
          <w:szCs w:val="28"/>
          <w:highlight w:val="yellow"/>
        </w:rPr>
      </w:r>
    </w:p>
    <w:p>
      <w:pPr>
        <w:ind w:firstLine="426"/>
        <w:jc w:val="both"/>
        <w:tabs>
          <w:tab w:val="left" w:pos="567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Доля проектов муниципальных программ Вытегорского муниципального района, соответствующих требованиям законодательства в 2024 году снизилась по сравнению с 2023 годом на 9,9 </w:t>
      </w:r>
      <w:r>
        <w:rPr>
          <w:sz w:val="28"/>
          <w:szCs w:val="28"/>
        </w:rPr>
        <w:t xml:space="preserve">процентных пункта</w:t>
      </w:r>
      <w:r>
        <w:rPr>
          <w:sz w:val="28"/>
          <w:szCs w:val="28"/>
        </w:rPr>
        <w:t xml:space="preserve"> и составила 37,0 %.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426"/>
        <w:jc w:val="both"/>
        <w:tabs>
          <w:tab w:val="left" w:pos="567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общий показатель соответствия муниципальных программ требованиям законодательства влияние оказали результаты экспертизы проектов муниципальных программ (в том числе изменений в действующие), разработанных сельскими поселениями,  показатель соответствия тр</w:t>
      </w:r>
      <w:r>
        <w:rPr>
          <w:sz w:val="28"/>
          <w:szCs w:val="28"/>
        </w:rPr>
        <w:t xml:space="preserve">ебованиям законодательства которых снизился</w:t>
      </w:r>
      <w:r>
        <w:rPr>
          <w:sz w:val="28"/>
          <w:szCs w:val="28"/>
        </w:rPr>
        <w:t xml:space="preserve"> с 34,2% в 2023 году до 19,4% в 2024 году. Доля проектов муниципальных программ района (в том числе изменений в действующие), разработанных без замечаний, незначительно снизилась по сравнению с уровнем  прошлого года и составила 60,9%. (65,4% в 2023 году).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tabs>
          <w:tab w:val="left" w:pos="567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В целом</w:t>
      </w:r>
      <w:r>
        <w:rPr>
          <w:sz w:val="28"/>
          <w:szCs w:val="28"/>
        </w:rPr>
        <w:t xml:space="preserve"> в результате проведения экспертно-аналитической работы</w:t>
      </w:r>
      <w:r>
        <w:rPr>
          <w:sz w:val="28"/>
          <w:szCs w:val="28"/>
        </w:rPr>
        <w:t xml:space="preserve"> за</w:t>
      </w:r>
      <w:r>
        <w:rPr>
          <w:sz w:val="28"/>
          <w:szCs w:val="28"/>
        </w:rPr>
        <w:t xml:space="preserve"> 2024</w:t>
      </w:r>
      <w:r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выя</w:t>
      </w:r>
      <w:r>
        <w:rPr>
          <w:sz w:val="28"/>
          <w:szCs w:val="28"/>
        </w:rPr>
        <w:t xml:space="preserve">влено 27</w:t>
      </w:r>
      <w:r>
        <w:rPr>
          <w:sz w:val="28"/>
          <w:szCs w:val="28"/>
        </w:rPr>
        <w:t xml:space="preserve"> н</w:t>
      </w:r>
      <w:r>
        <w:rPr>
          <w:sz w:val="28"/>
          <w:szCs w:val="28"/>
        </w:rPr>
        <w:t xml:space="preserve">аруше</w:t>
      </w:r>
      <w:r>
        <w:rPr>
          <w:sz w:val="28"/>
          <w:szCs w:val="28"/>
        </w:rPr>
        <w:t xml:space="preserve">ний</w:t>
      </w:r>
      <w:r>
        <w:rPr>
          <w:sz w:val="28"/>
          <w:szCs w:val="28"/>
        </w:rPr>
        <w:t xml:space="preserve"> бюджетного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законодательства и 112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прочих нарушений и </w:t>
      </w:r>
      <w:r>
        <w:rPr>
          <w:sz w:val="28"/>
          <w:szCs w:val="28"/>
        </w:rPr>
        <w:t xml:space="preserve">недостатков</w:t>
      </w:r>
      <w:r>
        <w:rPr>
          <w:sz w:val="28"/>
          <w:szCs w:val="28"/>
        </w:rPr>
        <w:t xml:space="preserve"> на сум</w:t>
      </w:r>
      <w:r>
        <w:rPr>
          <w:sz w:val="28"/>
          <w:szCs w:val="28"/>
        </w:rPr>
        <w:t xml:space="preserve">му 2938,4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тыс.рублей</w:t>
      </w:r>
      <w:r>
        <w:rPr>
          <w:sz w:val="28"/>
          <w:szCs w:val="28"/>
        </w:rPr>
        <w:t xml:space="preserve">, в том числе </w:t>
      </w:r>
      <w:r>
        <w:rPr>
          <w:sz w:val="28"/>
          <w:szCs w:val="28"/>
        </w:rPr>
        <w:t xml:space="preserve"> выявлено 27 </w:t>
      </w:r>
      <w:r>
        <w:rPr>
          <w:sz w:val="28"/>
          <w:szCs w:val="28"/>
        </w:rPr>
        <w:t xml:space="preserve">факт</w:t>
      </w:r>
      <w:r>
        <w:rPr>
          <w:sz w:val="28"/>
          <w:szCs w:val="28"/>
        </w:rPr>
        <w:t xml:space="preserve">ов расходования бюджетных средств, не отвечающих принципу экономности</w:t>
      </w:r>
      <w:r>
        <w:rPr>
          <w:sz w:val="28"/>
          <w:szCs w:val="28"/>
        </w:rPr>
        <w:t xml:space="preserve"> и эффективности расходования</w:t>
      </w:r>
      <w:r>
        <w:rPr>
          <w:sz w:val="28"/>
          <w:szCs w:val="28"/>
        </w:rPr>
        <w:t xml:space="preserve"> бюджетных средств</w:t>
      </w:r>
      <w:r>
        <w:rPr>
          <w:sz w:val="28"/>
          <w:szCs w:val="28"/>
        </w:rPr>
        <w:t xml:space="preserve">, на общую  сумму 2938,4 тыс. рублей</w:t>
      </w:r>
      <w:r>
        <w:rPr>
          <w:sz w:val="28"/>
          <w:szCs w:val="28"/>
        </w:rPr>
        <w:t xml:space="preserve"> (за 2023 год – 32 нарушения, 202 прочих нарушения и  недостатка). </w:t>
      </w:r>
      <w:r>
        <w:rPr>
          <w:sz w:val="28"/>
          <w:szCs w:val="28"/>
        </w:rPr>
        <w:t xml:space="preserve">Анал</w:t>
      </w:r>
      <w:r>
        <w:rPr>
          <w:sz w:val="28"/>
          <w:szCs w:val="28"/>
        </w:rPr>
        <w:t xml:space="preserve">изом и экспертизой </w:t>
      </w:r>
      <w:r>
        <w:rPr>
          <w:sz w:val="28"/>
          <w:szCs w:val="28"/>
        </w:rPr>
        <w:t xml:space="preserve">охвачено 365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. Направлен</w:t>
      </w:r>
      <w:r>
        <w:rPr>
          <w:sz w:val="28"/>
          <w:szCs w:val="28"/>
        </w:rPr>
        <w:t xml:space="preserve">о 278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предложений по устранению замечаний.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4"/>
        <w:ind w:firstLine="0"/>
        <w:jc w:val="both"/>
        <w:rPr>
          <w:highlight w:val="none"/>
        </w:rPr>
      </w:pPr>
      <w:r>
        <w:rPr>
          <w:sz w:val="28"/>
          <w:szCs w:val="28"/>
        </w:rPr>
        <w:t xml:space="preserve">          Заключения Ревизионной комиссии ВМР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в которых даны предложения по устранению нарушений законодательства, были нап</w:t>
      </w:r>
      <w:r>
        <w:rPr>
          <w:sz w:val="28"/>
          <w:szCs w:val="28"/>
        </w:rPr>
        <w:t xml:space="preserve">равлены руководителям органов местного самоуправления</w:t>
      </w:r>
      <w:r>
        <w:rPr>
          <w:sz w:val="28"/>
          <w:szCs w:val="28"/>
        </w:rPr>
        <w:t xml:space="preserve">, в представительные органы муниципальных образований, в Администрации муниципальных образований.</w:t>
      </w:r>
      <w:r>
        <w:rPr>
          <w:highlight w:val="none"/>
        </w:rPr>
      </w:r>
      <w:r>
        <w:rPr>
          <w:highlight w:val="none"/>
        </w:rPr>
      </w:r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  <w:highlight w:val="white"/>
        </w:rPr>
        <w:t xml:space="preserve">В 2024 году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</w:rPr>
        <w:t xml:space="preserve">Ревизионной комиссией ВМР, в рамках проводимых контрольных мероприятий, проводился «Аудит муниципальных закупок», осуществляемых органами местного самоуправления и муниципальным учреждением.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Аудит закупок проводится с целью осуществление анализа и оценки законности, результативности (эффективности и экономности) расходов на закупки. Вопросами аудита являются: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анализ организационного и нормативного обеспечения закупок у объекта аудита, включая оценку системы ведомственного контроля в сфере закупок;</w:t>
      </w: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ind w:firstLine="567"/>
        <w:jc w:val="both"/>
        <w:shd w:val="clear" w:color="auto" w:fill="ffffff"/>
        <w:tabs>
          <w:tab w:val="left" w:pos="567" w:leader="none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>
        <w:rPr>
          <w:rFonts w:eastAsia="Arial Unicode MS"/>
          <w:bCs/>
          <w:sz w:val="28"/>
          <w:szCs w:val="28"/>
        </w:rPr>
        <w:t xml:space="preserve">анализ и оценка целесообразности, обоснованности и своевременности расходов на закупки;</w:t>
      </w: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ind w:firstLine="567"/>
        <w:jc w:val="both"/>
        <w:shd w:val="clear" w:color="auto" w:fill="ffffff"/>
        <w:tabs>
          <w:tab w:val="left" w:pos="567" w:leader="none"/>
        </w:tabs>
        <w:rPr>
          <w:rFonts w:eastAsia="Arial Unicode MS"/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- анализ и оценка эффективности и результативности расходов на закупки;</w:t>
      </w:r>
      <w:r>
        <w:rPr>
          <w:rFonts w:eastAsia="Arial Unicode MS"/>
          <w:bCs/>
          <w:sz w:val="28"/>
          <w:szCs w:val="28"/>
        </w:rPr>
      </w:r>
      <w:r>
        <w:rPr>
          <w:rFonts w:eastAsia="Arial Unicode MS"/>
          <w:bCs/>
          <w:sz w:val="28"/>
          <w:szCs w:val="28"/>
        </w:rPr>
      </w:r>
    </w:p>
    <w:p>
      <w:pPr>
        <w:ind w:firstLine="567"/>
        <w:jc w:val="both"/>
        <w:shd w:val="clear" w:color="auto" w:fill="ffffff"/>
        <w:tabs>
          <w:tab w:val="left" w:pos="567" w:leader="none"/>
        </w:tabs>
        <w:rPr>
          <w:rFonts w:eastAsia="Arial Unicode MS"/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- </w:t>
      </w:r>
      <w:r>
        <w:rPr>
          <w:rFonts w:eastAsia="Calibri"/>
          <w:bCs/>
          <w:sz w:val="28"/>
          <w:szCs w:val="28"/>
          <w:lang w:eastAsia="en-US"/>
        </w:rPr>
        <w:t xml:space="preserve"> </w:t>
      </w:r>
      <w:r>
        <w:rPr>
          <w:rFonts w:eastAsia="Arial Unicode MS"/>
          <w:bCs/>
          <w:sz w:val="28"/>
          <w:szCs w:val="28"/>
        </w:rPr>
        <w:t xml:space="preserve">анализ и оценка законности расходов на закупки.</w:t>
      </w:r>
      <w:r>
        <w:rPr>
          <w:rFonts w:eastAsia="Arial Unicode MS"/>
          <w:bCs/>
          <w:sz w:val="28"/>
          <w:szCs w:val="28"/>
        </w:rPr>
        <w:tab/>
      </w:r>
      <w:r>
        <w:rPr>
          <w:rFonts w:eastAsia="Arial Unicode MS"/>
          <w:bCs/>
          <w:sz w:val="28"/>
          <w:szCs w:val="28"/>
        </w:rPr>
      </w:r>
      <w:r>
        <w:rPr>
          <w:rFonts w:eastAsia="Arial Unicode MS"/>
          <w:bCs/>
          <w:sz w:val="28"/>
          <w:szCs w:val="28"/>
        </w:rPr>
      </w:r>
    </w:p>
    <w:p>
      <w:pPr>
        <w:jc w:val="both"/>
        <w:rPr>
          <w:color w:val="000000"/>
          <w:sz w:val="16"/>
          <w:szCs w:val="16"/>
        </w:rPr>
      </w:pPr>
      <w:r>
        <w:rPr>
          <w:sz w:val="28"/>
          <w:szCs w:val="28"/>
          <w:highlight w:val="none"/>
        </w:rPr>
        <w:t xml:space="preserve">        </w:t>
      </w:r>
      <w:r>
        <w:rPr>
          <w:sz w:val="28"/>
          <w:szCs w:val="28"/>
          <w:highlight w:val="white"/>
        </w:rPr>
        <w:t xml:space="preserve">Основную долю нарушений в общем количестве выявляемых, продолж</w:t>
      </w:r>
      <w:r>
        <w:rPr>
          <w:sz w:val="28"/>
          <w:szCs w:val="28"/>
          <w:highlight w:val="white"/>
        </w:rPr>
        <w:t xml:space="preserve">ают составлять нарушения объектами контроля условий исполнения контрактов (договоров), в том числе своевременность расчетов по контракту (договору),  отсутствие ведения претензионной работы с Подрядчиками за нарушение условий исполнения контрактов</w:t>
      </w:r>
      <w:r>
        <w:rPr>
          <w:sz w:val="28"/>
          <w:szCs w:val="28"/>
          <w:highlight w:val="white"/>
        </w:rPr>
        <w:t xml:space="preserve"> (доля 17,4%), а также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приемка и оплата поставленных товаров, </w:t>
      </w:r>
      <w:r>
        <w:rPr>
          <w:sz w:val="28"/>
          <w:szCs w:val="28"/>
        </w:rPr>
        <w:t xml:space="preserve">выполненных работ, оказанных услуг, несоответствующих условиям  контрактов (договоров)</w:t>
      </w:r>
      <w:r>
        <w:rPr>
          <w:sz w:val="28"/>
          <w:szCs w:val="28"/>
        </w:rPr>
        <w:t xml:space="preserve"> (доля 17,4%).</w:t>
      </w:r>
      <w:r>
        <w:rPr>
          <w:sz w:val="28"/>
          <w:szCs w:val="28"/>
          <w:highlight w:val="none"/>
        </w:rPr>
        <w:t xml:space="preserve"> </w:t>
      </w:r>
      <w:r>
        <w:rPr>
          <w:sz w:val="28"/>
          <w:szCs w:val="28"/>
          <w:highlight w:val="white"/>
        </w:rPr>
        <w:t xml:space="preserve">Данные нарушения способствуют возникновению рисков оплаты штрафов пени, неустоек, т.е. неэффективного расходования бюджетных средств. </w:t>
      </w:r>
      <w:r>
        <w:rPr>
          <w:color w:val="000000"/>
          <w:sz w:val="28"/>
          <w:szCs w:val="28"/>
        </w:rPr>
        <w:t xml:space="preserve">Н</w:t>
      </w:r>
      <w:r>
        <w:rPr>
          <w:color w:val="000000"/>
          <w:sz w:val="28"/>
          <w:szCs w:val="28"/>
        </w:rPr>
        <w:t xml:space="preserve">а</w:t>
      </w:r>
      <w:r>
        <w:rPr>
          <w:color w:val="000000"/>
          <w:sz w:val="28"/>
          <w:szCs w:val="28"/>
        </w:rPr>
        <w:t xml:space="preserve">рушения порядка формирования, утверждения и ведения плана-графика закупок, порядка его размещения в открытом доступе</w:t>
      </w:r>
      <w:r>
        <w:rPr>
          <w:color w:val="000000"/>
          <w:sz w:val="28"/>
          <w:szCs w:val="28"/>
        </w:rPr>
        <w:t xml:space="preserve"> составляют 21,7 % в общем объеме выявленных нарушений.</w:t>
      </w:r>
      <w:r>
        <w:rPr>
          <w:color w:val="000000"/>
          <w:sz w:val="16"/>
          <w:szCs w:val="16"/>
        </w:rPr>
      </w:r>
      <w:r>
        <w:rPr>
          <w:color w:val="000000"/>
          <w:sz w:val="16"/>
          <w:szCs w:val="16"/>
        </w:rPr>
      </w:r>
    </w:p>
    <w:p>
      <w:pPr>
        <w:ind w:firstLine="567"/>
        <w:jc w:val="both"/>
        <w:tabs>
          <w:tab w:val="left" w:pos="0" w:leader="none"/>
        </w:tabs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По сравнению с 2023 годом наблюдается </w:t>
      </w:r>
      <w:r>
        <w:rPr>
          <w:color w:val="000000" w:themeColor="text1"/>
          <w:sz w:val="28"/>
          <w:szCs w:val="28"/>
        </w:rPr>
        <w:t xml:space="preserve">увеличение у</w:t>
      </w:r>
      <w:r>
        <w:rPr>
          <w:color w:val="000000" w:themeColor="text1"/>
          <w:sz w:val="28"/>
          <w:szCs w:val="28"/>
        </w:rPr>
        <w:t xml:space="preserve">дельного веса по следующим видам нарушений:</w:t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jc w:val="both"/>
        <w:rPr>
          <w:color w:val="000000"/>
          <w:sz w:val="16"/>
          <w:szCs w:val="16"/>
          <w:highlight w:val="none"/>
        </w:rPr>
      </w:pPr>
      <w:r>
        <w:rPr>
          <w:color w:val="000000"/>
          <w:sz w:val="28"/>
          <w:szCs w:val="28"/>
        </w:rPr>
      </w:r>
      <w:r>
        <w:rPr>
          <w:color w:val="000000" w:themeColor="text1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несоблюдение требований, в соответствии с которыми государственный или муниципальный контракт (договор) заключается</w:t>
      </w:r>
      <w:r>
        <w:rPr>
          <w:color w:val="000000"/>
          <w:sz w:val="28"/>
          <w:szCs w:val="28"/>
        </w:rPr>
        <w:t xml:space="preserve"> на основе заказа на поставку товаров для государственных или муниципальных нужд, размещаемого в порядке, предусмотренном законодательством  о размещении заказов на поставки товаров, выполнение работ, оказание услуг для государственных и муниципальных нужд</w:t>
      </w:r>
      <w:r>
        <w:rPr>
          <w:color w:val="000000"/>
          <w:sz w:val="28"/>
          <w:szCs w:val="28"/>
          <w:highlight w:val="none"/>
        </w:rPr>
        <w:t xml:space="preserve"> (+8,7 п.п.); </w:t>
      </w:r>
      <w:r>
        <w:rPr>
          <w:color w:val="000000"/>
          <w:sz w:val="16"/>
          <w:szCs w:val="16"/>
          <w:highlight w:val="none"/>
        </w:rPr>
      </w:r>
      <w:r>
        <w:rPr>
          <w:color w:val="000000"/>
          <w:sz w:val="16"/>
          <w:szCs w:val="16"/>
          <w:highlight w:val="none"/>
        </w:rPr>
      </w:r>
    </w:p>
    <w:p>
      <w:pPr>
        <w:jc w:val="both"/>
        <w:rPr>
          <w:color w:val="000000" w:themeColor="text1"/>
          <w:sz w:val="16"/>
          <w:szCs w:val="16"/>
        </w:rPr>
      </w:pPr>
      <w:r>
        <w:rPr>
          <w:color w:val="000000" w:themeColor="text1"/>
          <w:sz w:val="28"/>
          <w:szCs w:val="28"/>
        </w:rPr>
        <w:t xml:space="preserve">- нарушениями порядка формирования, утверждения и ведения плана-графика закупок, порядка его размещения в открытом доступе (+11,7);</w:t>
      </w:r>
      <w:r>
        <w:rPr>
          <w:color w:val="000000" w:themeColor="text1"/>
          <w:sz w:val="16"/>
          <w:szCs w:val="16"/>
        </w:rPr>
      </w:r>
      <w:r>
        <w:rPr>
          <w:color w:val="000000" w:themeColor="text1"/>
          <w:sz w:val="16"/>
          <w:szCs w:val="16"/>
        </w:rPr>
      </w:r>
    </w:p>
    <w:p>
      <w:pPr>
        <w:ind w:left="0" w:right="0" w:firstLine="0"/>
        <w:jc w:val="both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- несоответствие контракта (договора) требованиям, предусмотренным документацией (извещением) о закупке, протоколам закупки, заявке участника закупки</w:t>
      </w:r>
      <w:r>
        <w:rPr>
          <w:sz w:val="28"/>
          <w:szCs w:val="28"/>
        </w:rPr>
        <w:t xml:space="preserve"> (+4,35 п.п.);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jc w:val="both"/>
        <w:rPr>
          <w:sz w:val="16"/>
          <w:szCs w:val="16"/>
        </w:rPr>
      </w:pPr>
      <w:r>
        <w:rPr>
          <w:sz w:val="28"/>
          <w:szCs w:val="28"/>
        </w:rPr>
      </w:r>
      <w:r>
        <w:rPr>
          <w:color w:val="000000" w:themeColor="text1"/>
          <w:sz w:val="28"/>
          <w:szCs w:val="28"/>
        </w:rPr>
        <w:t xml:space="preserve">- </w:t>
      </w:r>
      <w:r>
        <w:rPr>
          <w:sz w:val="28"/>
          <w:szCs w:val="28"/>
        </w:rPr>
        <w:t xml:space="preserve">внесение изменений (невнесение изменений) в контракт (договор) с нарушением требований, установленных законодательством Российской Федерации </w:t>
      </w:r>
      <w:r>
        <w:rPr>
          <w:sz w:val="28"/>
          <w:szCs w:val="28"/>
        </w:rPr>
        <w:t xml:space="preserve">(+4,35 п.п.);</w:t>
      </w:r>
      <w:r>
        <w:rPr>
          <w:sz w:val="16"/>
          <w:szCs w:val="16"/>
        </w:rPr>
      </w:r>
      <w:r>
        <w:rPr>
          <w:sz w:val="16"/>
          <w:szCs w:val="16"/>
        </w:rPr>
      </w:r>
    </w:p>
    <w:p>
      <w:pPr>
        <w:jc w:val="both"/>
        <w:rPr>
          <w:sz w:val="16"/>
          <w:szCs w:val="16"/>
        </w:rPr>
      </w:pPr>
      <w:r>
        <w:rPr>
          <w:sz w:val="28"/>
          <w:szCs w:val="28"/>
        </w:rPr>
      </w:r>
      <w:r>
        <w:rPr>
          <w:color w:val="000000" w:themeColor="text1"/>
          <w:sz w:val="28"/>
          <w:szCs w:val="28"/>
        </w:rPr>
        <w:t xml:space="preserve">- </w:t>
      </w:r>
      <w:r>
        <w:rPr>
          <w:sz w:val="28"/>
          <w:szCs w:val="28"/>
        </w:rPr>
        <w:t xml:space="preserve">приемка и оплата поставленных товаров, выполненных работ, оказанных услуг, несоответствующих условиям  контрактов (договоров) (</w:t>
      </w:r>
      <w:r>
        <w:rPr>
          <w:sz w:val="28"/>
          <w:szCs w:val="28"/>
        </w:rPr>
        <w:t xml:space="preserve">+12,4 п.п.);</w:t>
      </w:r>
      <w:r>
        <w:rPr>
          <w:sz w:val="16"/>
          <w:szCs w:val="16"/>
        </w:rPr>
      </w:r>
      <w:r>
        <w:rPr>
          <w:sz w:val="16"/>
          <w:szCs w:val="16"/>
        </w:rPr>
      </w:r>
    </w:p>
    <w:p>
      <w:pPr>
        <w:jc w:val="both"/>
        <w:tabs>
          <w:tab w:val="left" w:pos="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none"/>
        </w:rPr>
      </w:r>
      <w:r>
        <w:rPr>
          <w:color w:val="000000" w:themeColor="text1"/>
          <w:sz w:val="28"/>
          <w:szCs w:val="28"/>
        </w:rPr>
        <w:t xml:space="preserve">- </w:t>
      </w:r>
      <w:r>
        <w:rPr>
          <w:sz w:val="28"/>
          <w:szCs w:val="28"/>
          <w:highlight w:val="white"/>
        </w:rPr>
        <w:t xml:space="preserve">неприменением мер ответственности по контракту (договору) (отсутствуют взыскания неустойки (пени, штрафы) с недобросовестного поставщика (подрядчика, исполнителя) (+3,7 п.п.);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</w:r>
      <w:r>
        <w:rPr>
          <w:color w:val="000000" w:themeColor="text1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непредставление, несвоевременное представление информации (сведений) и (или) докумен</w:t>
      </w:r>
      <w:r>
        <w:rPr>
          <w:color w:val="000000"/>
          <w:sz w:val="28"/>
          <w:szCs w:val="28"/>
        </w:rPr>
        <w:t xml:space="preserve">тов, подлежащих включению в реестр контрактов, заключенных заказчиками, реестр контрактов, содержащего сведения, составляющие государственную тайну, или направление недостоверной информации (сведений) и (или) документов, содержащих недостоверную информацию</w:t>
      </w:r>
      <w:r>
        <w:rPr>
          <w:color w:val="000000"/>
          <w:sz w:val="28"/>
          <w:szCs w:val="28"/>
        </w:rPr>
        <w:t xml:space="preserve"> (+8,7 п.п.).</w:t>
      </w:r>
      <w:r>
        <w:rPr>
          <w:color w:val="000000"/>
          <w:sz w:val="16"/>
          <w:szCs w:val="16"/>
        </w:rPr>
      </w:r>
      <w:r>
        <w:rPr>
          <w:color w:val="000000"/>
          <w:sz w:val="16"/>
          <w:szCs w:val="16"/>
        </w:rPr>
      </w:r>
    </w:p>
    <w:p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</w:rPr>
        <w:t xml:space="preserve">  </w:t>
      </w:r>
      <w:r>
        <w:rPr>
          <w:color w:val="000000" w:themeColor="text1"/>
          <w:sz w:val="28"/>
          <w:szCs w:val="28"/>
        </w:rPr>
        <w:t xml:space="preserve">     </w:t>
      </w:r>
      <w:r>
        <w:rPr>
          <w:color w:val="000000" w:themeColor="text1"/>
          <w:sz w:val="28"/>
          <w:szCs w:val="28"/>
        </w:rPr>
        <w:t xml:space="preserve">Снижение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у</w:t>
      </w:r>
      <w:r>
        <w:rPr>
          <w:color w:val="000000" w:themeColor="text1"/>
          <w:sz w:val="28"/>
          <w:szCs w:val="28"/>
        </w:rPr>
        <w:t xml:space="preserve">дельного веса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по сравнению с 2023 годом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наблюдается </w:t>
      </w:r>
      <w:r>
        <w:rPr>
          <w:color w:val="000000" w:themeColor="text1"/>
          <w:sz w:val="28"/>
          <w:szCs w:val="28"/>
        </w:rPr>
        <w:t xml:space="preserve"> по следующим видам нарушений</w:t>
      </w:r>
      <w:r>
        <w:rPr>
          <w:color w:val="000000" w:themeColor="text1"/>
          <w:sz w:val="28"/>
          <w:szCs w:val="28"/>
        </w:rPr>
        <w:t xml:space="preserve">:</w:t>
      </w:r>
      <w:r>
        <w:rPr>
          <w:color w:val="000000" w:themeColor="text1"/>
        </w:rPr>
      </w:r>
      <w:bookmarkStart w:id="0" w:name="undefined"/>
      <w:r>
        <w:rPr>
          <w:color w:val="000000" w:themeColor="text1"/>
        </w:rPr>
      </w:r>
      <w:bookmarkEnd w:id="0"/>
      <w:r>
        <w:rPr>
          <w:color w:val="000000" w:themeColor="text1"/>
        </w:rPr>
        <w:t xml:space="preserve"> </w:t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jc w:val="both"/>
        <w:rPr>
          <w:color w:val="000000" w:themeColor="text1"/>
          <w:sz w:val="16"/>
          <w:szCs w:val="16"/>
        </w:rPr>
      </w:pPr>
      <w:r>
        <w:rPr>
          <w:color w:val="000000" w:themeColor="text1"/>
          <w:sz w:val="28"/>
          <w:szCs w:val="28"/>
        </w:rPr>
        <w:t xml:space="preserve">- отсутствием утвержденных требований к отдельным видам товаров, работ, услуг, в том числе к предельным ценам на них, и (или) нормативных затрат на обеспечение функций заказчиков (-15,65 п.п.);</w:t>
      </w:r>
      <w:r>
        <w:rPr>
          <w:color w:val="000000" w:themeColor="text1"/>
          <w:sz w:val="16"/>
          <w:szCs w:val="16"/>
        </w:rPr>
      </w:r>
      <w:r>
        <w:rPr>
          <w:color w:val="000000" w:themeColor="text1"/>
          <w:sz w:val="16"/>
          <w:szCs w:val="16"/>
        </w:rPr>
      </w:r>
    </w:p>
    <w:p>
      <w:pPr>
        <w:jc w:val="both"/>
        <w:rPr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t xml:space="preserve">-нарушения при организации и проведении ведомственного контроля в сфере закупок в отношении подведомственных заказчиков (-15,0 п.п.);</w:t>
      </w:r>
      <w:r>
        <w:rPr>
          <w:color w:val="000000"/>
          <w:sz w:val="16"/>
          <w:szCs w:val="16"/>
        </w:rPr>
      </w:r>
      <w:r>
        <w:rPr>
          <w:color w:val="000000"/>
          <w:sz w:val="16"/>
          <w:szCs w:val="16"/>
        </w:rPr>
      </w:r>
    </w:p>
    <w:p>
      <w:pPr>
        <w:rPr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t xml:space="preserve">-невключение в контракт (договор) обязательных условий</w:t>
      </w:r>
      <w:r>
        <w:rPr>
          <w:color w:val="000000"/>
          <w:sz w:val="28"/>
          <w:szCs w:val="28"/>
        </w:rPr>
        <w:t xml:space="preserve"> (-0,65 п.п.);</w:t>
      </w:r>
      <w:r>
        <w:rPr>
          <w:color w:val="000000"/>
          <w:sz w:val="16"/>
          <w:szCs w:val="16"/>
        </w:rPr>
      </w:r>
      <w:r>
        <w:rPr>
          <w:color w:val="000000"/>
          <w:sz w:val="16"/>
          <w:szCs w:val="16"/>
        </w:rPr>
      </w:r>
    </w:p>
    <w:p>
      <w:pPr>
        <w:jc w:val="both"/>
        <w:rPr>
          <w:sz w:val="16"/>
          <w:szCs w:val="16"/>
        </w:rPr>
      </w:pPr>
      <w:r>
        <w:rPr>
          <w:sz w:val="28"/>
          <w:szCs w:val="28"/>
        </w:rPr>
        <w:t xml:space="preserve">-нарушения условий исполнения контрактов (договоров), в том числе сроков исполнения, включая  своевременность расчетов по контракту (договору)</w:t>
      </w:r>
      <w:r>
        <w:rPr>
          <w:sz w:val="28"/>
          <w:szCs w:val="28"/>
        </w:rPr>
        <w:t xml:space="preserve"> (-22,6 п.п.).</w:t>
      </w:r>
      <w:r>
        <w:rPr>
          <w:sz w:val="16"/>
          <w:szCs w:val="16"/>
        </w:rPr>
      </w:r>
      <w:r>
        <w:rPr>
          <w:sz w:val="16"/>
          <w:szCs w:val="16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Результаты аудита закупок в органах местного самоуправления и муниципальном учреждении в 2022 - 2024 годах в таблице:</w:t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10201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4390"/>
        <w:gridCol w:w="567"/>
        <w:gridCol w:w="567"/>
        <w:gridCol w:w="751"/>
        <w:gridCol w:w="709"/>
        <w:gridCol w:w="850"/>
        <w:gridCol w:w="709"/>
        <w:gridCol w:w="807"/>
        <w:gridCol w:w="851"/>
      </w:tblGrid>
      <w:tr>
        <w:tblPrEx/>
        <w:trPr>
          <w:trHeight w:val="390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390" w:type="dxa"/>
            <w:vAlign w:val="center"/>
            <w:vMerge w:val="restart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Виды нарушений в сфере закупок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right w:val="single" w:color="000000" w:sz="4" w:space="0"/>
            </w:tcBorders>
            <w:tcW w:w="567" w:type="dxa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Код нарушения по классификатору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gridSpan w:val="6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393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Количество выявленных нарушений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851" w:type="dxa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Изменение доли в общем кол-ве нарушений по сравнению с 2023 годом (п.п.)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390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90" w:type="dxa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67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2022 год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51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Доля в общем кол-ве (%)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2023 год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Доля в общем кол-ве (%)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2024 год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7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Доля в общем кол-ве (%)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873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90" w:type="dxa"/>
            <w:vAlign w:val="center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Несоблюдение требований, в соответствии с которыми поставка товаров для государственных или муниципальных нужд осуществляется на основе государственного или муниципального контракта (договора)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4.1.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5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5,55 %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1256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90" w:type="dxa"/>
            <w:vAlign w:val="center"/>
            <w:vMerge w:val="restart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  <w:highlight w:val="none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  <w:t xml:space="preserve">Несоблюдение требований, в соответствии с которыми государственный или муниципальный контракт (договор) заключается</w:t>
            </w:r>
            <w:r>
              <w:rPr>
                <w:color w:val="000000"/>
                <w:sz w:val="16"/>
                <w:szCs w:val="16"/>
              </w:rPr>
              <w:t xml:space="preserve"> на основе заказа на поставку товаров для государственных или муниципальных нужд, размещаемого в порядке, предусмотренном законодательством  о размещении заказов на поставки товаров, выполнение работ, оказание услуг для государственных и муниципальных нужд</w:t>
            </w:r>
            <w:r>
              <w:rPr>
                <w:color w:val="000000"/>
                <w:sz w:val="16"/>
                <w:szCs w:val="16"/>
                <w:highlight w:val="none"/>
              </w:rPr>
            </w:r>
            <w:r>
              <w:rPr>
                <w:color w:val="000000"/>
                <w:sz w:val="16"/>
                <w:szCs w:val="16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4.2.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5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85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8,7%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+8,7 п.п.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1256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90" w:type="dxa"/>
            <w:vAlign w:val="center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Несоблюдение требований, в соответствии с которыми государственные (муниципальные) контракты (договора) заключаются в соответствии с планом-графиком закупок товаров, работ, услуг для</w:t>
            </w:r>
            <w:r>
              <w:rPr>
                <w:color w:val="000000"/>
                <w:sz w:val="16"/>
                <w:szCs w:val="16"/>
              </w:rPr>
              <w:t xml:space="preserve"> обеспечения государственных (муниципальных) нужд, сформированным и утвержденным в установленном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 порядке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4.5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5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5,55 %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677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90" w:type="dxa"/>
            <w:vAlign w:val="center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Отсутствие утвержденных требований к отдельным видам товаров, работ, услуг, в том числе к предельным ценам на них, и (или) нормативных затрат на обеспечение функций заказчиков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4.15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textDirection w:val="lrTb"/>
            <w:noWrap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51" w:type="dxa"/>
            <w:vAlign w:val="center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20,0%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4,35%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-15,65 п.п.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494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90" w:type="dxa"/>
            <w:vAlign w:val="center"/>
            <w:vMerge w:val="restart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Нарушения при организации и проведении ведомственного контроля в сфере закупок в отношении подведомственных заказчиков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4.16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5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85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15,0%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-15,0 п.п.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30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90" w:type="dxa"/>
            <w:vAlign w:val="center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Нарушения порядка формирования, утверждения и ведения плана-графика закупок, порядка его размещения в открытом доступе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4.19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5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5,55 %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10,0%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21,7%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+11,7 п.п.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30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90" w:type="dxa"/>
            <w:vAlign w:val="center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Невключение в контракт (договор) обязательных условий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4.28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5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5,0%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4,35%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-0,65 п.п.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332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90" w:type="dxa"/>
            <w:vAlign w:val="center"/>
            <w:vMerge w:val="restart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Несоответствие контракта (договора) требованиям, предусмотренным документацией (извещением) о закупке, протоколам закупки, заявке участника закупки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4.31.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5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85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4,35%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+4,35 п.п.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332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90" w:type="dxa"/>
            <w:vAlign w:val="center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Отсутствие обеспечения исполнения контракта (договора)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4.33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5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11,1 %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51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90" w:type="dxa"/>
            <w:vAlign w:val="center"/>
            <w:vMerge w:val="restart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Внесение изменений (невнесение изменений) в контракт (договор) с нарушением требований, установленных законодательством Российской Федерации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4.41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5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85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4,35%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+4,35 п.п.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trHeight w:val="51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90" w:type="dxa"/>
            <w:vAlign w:val="center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Нарушения условий исполнения контрактов (договоров), в том числе сроков исполнения, включая  своевременность расчетов по контракту (договору)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4.44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textDirection w:val="lrTb"/>
            <w:noWrap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5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38,9 %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40,0%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17,4%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-22,6 п.п.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trHeight w:val="371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90" w:type="dxa"/>
            <w:vAlign w:val="center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Приемка и оплата поставленных товаров, выполненных работ, оказанных услуг, несоответствующих условиям  контрактов (договоров)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4.45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textDirection w:val="lrTb"/>
            <w:noWrap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5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16,7 %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5,0%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17,4%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+12,4 п.п.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trHeight w:val="371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90" w:type="dxa"/>
            <w:vAlign w:val="center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Неприменение мер ответственности по контракту (договору) (отсутствуют взыскания неустойки (пени, штрафы) с недобросовестного поставщика (подрядчика, исполнителя)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4.47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textDirection w:val="lrTb"/>
            <w:noWrap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5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16,7 %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5,0%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8,7%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+3,7 п.п.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trHeight w:val="30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90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Непредставление, несвоевременное представление информации (сведений) и (или) докумен</w:t>
            </w:r>
            <w:r>
              <w:rPr>
                <w:color w:val="000000"/>
                <w:sz w:val="16"/>
                <w:szCs w:val="16"/>
              </w:rPr>
              <w:t xml:space="preserve">тов, подлежащих включению в реестр контрактов, заключенных заказчиками, реестр контрактов, содержащего сведения, составляющие государственную тайну, или направление недостоверной информации (сведений) и (или) документов, содержащих недостоверную информацию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4.53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textDirection w:val="lrTb"/>
            <w:noWrap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5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8,7%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+8,7 п.п.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  <w:tr>
        <w:tblPrEx/>
        <w:trPr>
          <w:trHeight w:val="30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90" w:type="dxa"/>
            <w:textDirection w:val="lrTb"/>
            <w:noWrap w:val="false"/>
          </w:tcPr>
          <w:p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итого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18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75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100,0%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100,0%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23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100,0%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*</w: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</w:r>
          </w:p>
        </w:tc>
      </w:tr>
    </w:tbl>
    <w:p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Общие итоги контрольной и экспертно-аналитической деятельности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Ревизионной комиссии за 2022-2024 годы</w:t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1017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418"/>
        <w:gridCol w:w="1417"/>
        <w:gridCol w:w="709"/>
        <w:gridCol w:w="1134"/>
        <w:gridCol w:w="1134"/>
        <w:gridCol w:w="1134"/>
        <w:gridCol w:w="1134"/>
        <w:gridCol w:w="851"/>
      </w:tblGrid>
      <w:tr>
        <w:tblPrEx/>
        <w:trPr/>
        <w:tc>
          <w:tcPr>
            <w:tcW w:w="1242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Проведено мероприятий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418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Кол-во объектов, охваченных мероприятиями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417" w:type="dxa"/>
            <w:vMerge w:val="restar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Объем средств, охваченных мероприятиями (тыс.руб.)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gridSpan w:val="3"/>
            <w:tcW w:w="2977" w:type="dxa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Выявлено нарушений и недостатков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gridSpan w:val="3"/>
            <w:tcW w:w="3119" w:type="dxa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Устранение нарушений и недостатков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/>
        <w:tc>
          <w:tcPr>
            <w:tcW w:w="1242" w:type="dxa"/>
            <w:vMerge w:val="continue"/>
            <w:textDirection w:val="lrTb"/>
            <w:noWrap w:val="false"/>
          </w:tcPr>
          <w:p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418" w:type="dxa"/>
            <w:vMerge w:val="continue"/>
            <w:textDirection w:val="lrTb"/>
            <w:noWrap w:val="false"/>
          </w:tcPr>
          <w:p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417" w:type="dxa"/>
            <w:vMerge w:val="continue"/>
            <w:textDirection w:val="lrTb"/>
            <w:noWrap w:val="false"/>
          </w:tcPr>
          <w:p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кол-во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на сумму (тыс.руб.)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% от общего объема проверенных средств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Предложено устранить на сумму (тыс.руб.)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Устранено на сумму (тыс.руб.)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851" w:type="dxa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% исполнения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/>
        <w:tc>
          <w:tcPr>
            <w:tcW w:w="1242" w:type="dxa"/>
            <w:textDirection w:val="lrTb"/>
            <w:noWrap w:val="false"/>
          </w:tcPr>
          <w:p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2022 год</w:t>
            </w:r>
            <w:r>
              <w:rPr>
                <w:b/>
                <w:i/>
                <w:sz w:val="20"/>
                <w:szCs w:val="20"/>
              </w:rPr>
            </w:r>
            <w:r>
              <w:rPr>
                <w:b/>
                <w:i/>
                <w:sz w:val="20"/>
                <w:szCs w:val="20"/>
              </w:rPr>
            </w:r>
          </w:p>
          <w:p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</w:r>
            <w:r>
              <w:rPr>
                <w:b/>
                <w:i/>
                <w:sz w:val="20"/>
                <w:szCs w:val="20"/>
              </w:rPr>
            </w:r>
            <w:r>
              <w:rPr>
                <w:b/>
                <w:i/>
                <w:sz w:val="20"/>
                <w:szCs w:val="20"/>
              </w:rPr>
            </w:r>
          </w:p>
          <w:p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387</w:t>
            </w:r>
            <w:r>
              <w:rPr>
                <w:b/>
                <w:i/>
                <w:sz w:val="20"/>
                <w:szCs w:val="20"/>
              </w:rPr>
            </w:r>
            <w:r>
              <w:rPr>
                <w:b/>
                <w:i/>
                <w:sz w:val="20"/>
                <w:szCs w:val="20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421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10870420,5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303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116319,3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1,0 %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753,8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753,8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85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100,0 %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trHeight w:val="230"/>
        </w:trPr>
        <w:tc>
          <w:tcPr>
            <w:tcW w:w="1242" w:type="dxa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2023 год</w:t>
            </w:r>
            <w:r>
              <w:rPr>
                <w:b/>
                <w:bCs/>
                <w:i/>
                <w:sz w:val="20"/>
                <w:szCs w:val="20"/>
              </w:rPr>
            </w:r>
            <w:r>
              <w:rPr>
                <w:b/>
                <w:bCs/>
                <w:i/>
                <w:sz w:val="20"/>
                <w:szCs w:val="20"/>
              </w:rPr>
            </w:r>
          </w:p>
          <w:p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</w:r>
            <w:r>
              <w:rPr>
                <w:b/>
                <w:bCs/>
                <w:i/>
                <w:sz w:val="20"/>
                <w:szCs w:val="20"/>
              </w:rPr>
            </w:r>
            <w:r>
              <w:rPr>
                <w:b/>
                <w:bCs/>
                <w:i/>
                <w:sz w:val="20"/>
                <w:szCs w:val="20"/>
              </w:rPr>
            </w:r>
          </w:p>
          <w:p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381</w:t>
            </w:r>
            <w:r>
              <w:rPr>
                <w:b/>
                <w:i/>
                <w:sz w:val="20"/>
                <w:szCs w:val="20"/>
              </w:rPr>
            </w:r>
            <w:r>
              <w:rPr>
                <w:b/>
                <w:i/>
                <w:sz w:val="20"/>
                <w:szCs w:val="20"/>
              </w:rPr>
            </w:r>
          </w:p>
        </w:tc>
        <w:tc>
          <w:tcPr>
            <w:tcW w:w="141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405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12291457,7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7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295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69176,1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0,56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687,2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687,2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85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100,0%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trHeight w:val="230"/>
        </w:trPr>
        <w:tc>
          <w:tcPr>
            <w:tcW w:w="1242" w:type="dxa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i/>
                <w:sz w:val="20"/>
                <w:szCs w:val="20"/>
                <w:highlight w:val="none"/>
              </w:rPr>
            </w:pPr>
            <w:r>
              <w:rPr>
                <w:b/>
                <w:i/>
                <w:sz w:val="20"/>
                <w:szCs w:val="20"/>
              </w:rPr>
              <w:t xml:space="preserve">2024 год </w:t>
            </w:r>
            <w:r>
              <w:rPr>
                <w:b/>
                <w:bCs/>
                <w:i/>
                <w:sz w:val="20"/>
                <w:szCs w:val="20"/>
                <w:highlight w:val="none"/>
              </w:rPr>
            </w:r>
            <w:r>
              <w:rPr>
                <w:b/>
                <w:bCs/>
                <w:i/>
                <w:sz w:val="20"/>
                <w:szCs w:val="20"/>
                <w:highlight w:val="none"/>
              </w:rPr>
            </w:r>
          </w:p>
          <w:p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</w:r>
            <w:r>
              <w:rPr>
                <w:b/>
                <w:bCs/>
                <w:i/>
                <w:sz w:val="20"/>
                <w:szCs w:val="20"/>
              </w:rPr>
            </w:r>
            <w:r>
              <w:rPr>
                <w:b/>
                <w:bCs/>
                <w:i/>
                <w:sz w:val="20"/>
                <w:szCs w:val="20"/>
              </w:rPr>
            </w:r>
          </w:p>
          <w:p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  <w:highlight w:val="none"/>
              </w:rPr>
              <w:t xml:space="preserve">382</w:t>
            </w:r>
            <w:r>
              <w:rPr>
                <w:b/>
                <w:bCs/>
                <w:i/>
                <w:sz w:val="20"/>
                <w:szCs w:val="20"/>
              </w:rPr>
            </w:r>
            <w:r>
              <w:rPr>
                <w:b/>
                <w:bCs/>
                <w:i/>
                <w:sz w:val="20"/>
                <w:szCs w:val="20"/>
              </w:rPr>
            </w:r>
          </w:p>
        </w:tc>
        <w:tc>
          <w:tcPr>
            <w:tcW w:w="141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386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13037065,4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7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252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7119,6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0,05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3668,9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3371,3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W w:w="85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91,9%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/>
        <w:tc>
          <w:tcPr>
            <w:tcW w:w="1242" w:type="dxa"/>
            <w:textDirection w:val="lrTb"/>
            <w:noWrap w:val="false"/>
          </w:tcPr>
          <w:p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Изменения по сравнению с 2023 годом</w:t>
            </w:r>
            <w:r>
              <w:rPr>
                <w:b/>
                <w:bCs/>
                <w:i/>
                <w:sz w:val="20"/>
                <w:szCs w:val="20"/>
              </w:rPr>
            </w:r>
            <w:r>
              <w:rPr>
                <w:b/>
                <w:bCs/>
                <w:i/>
                <w:sz w:val="20"/>
                <w:szCs w:val="20"/>
              </w:rPr>
            </w:r>
          </w:p>
          <w:p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</w:r>
            <w:r>
              <w:rPr>
                <w:b/>
                <w:bCs/>
                <w:i/>
                <w:sz w:val="20"/>
                <w:szCs w:val="20"/>
              </w:rPr>
            </w:r>
            <w:r>
              <w:rPr>
                <w:b/>
                <w:bCs/>
                <w:i/>
                <w:sz w:val="20"/>
                <w:szCs w:val="20"/>
              </w:rPr>
            </w:r>
          </w:p>
          <w:p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+1</w:t>
            </w:r>
            <w:r>
              <w:rPr>
                <w:b/>
                <w:i/>
                <w:sz w:val="20"/>
                <w:szCs w:val="20"/>
              </w:rPr>
            </w:r>
            <w:r>
              <w:rPr>
                <w:b/>
                <w:i/>
                <w:sz w:val="20"/>
                <w:szCs w:val="20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 xml:space="preserve">-19</w:t>
            </w:r>
            <w:r>
              <w:rPr>
                <w:b/>
                <w:i/>
                <w:sz w:val="16"/>
                <w:szCs w:val="16"/>
              </w:rPr>
            </w:r>
            <w:r>
              <w:rPr>
                <w:b/>
                <w:i/>
                <w:sz w:val="16"/>
                <w:szCs w:val="16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 xml:space="preserve">+745607,7</w:t>
            </w:r>
            <w:r>
              <w:rPr>
                <w:b/>
                <w:i/>
                <w:sz w:val="16"/>
                <w:szCs w:val="16"/>
              </w:rPr>
            </w:r>
            <w:r>
              <w:rPr>
                <w:b/>
                <w:i/>
                <w:sz w:val="16"/>
                <w:szCs w:val="16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 xml:space="preserve">-43</w:t>
            </w:r>
            <w:r>
              <w:rPr>
                <w:b/>
                <w:i/>
                <w:sz w:val="16"/>
                <w:szCs w:val="16"/>
              </w:rPr>
            </w:r>
            <w:r>
              <w:rPr>
                <w:b/>
                <w:i/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 xml:space="preserve">-62056,5</w:t>
            </w:r>
            <w:r>
              <w:rPr>
                <w:b/>
                <w:i/>
                <w:sz w:val="16"/>
                <w:szCs w:val="16"/>
              </w:rPr>
            </w:r>
            <w:r>
              <w:rPr>
                <w:b/>
                <w:i/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 xml:space="preserve">*</w:t>
            </w:r>
            <w:r>
              <w:rPr>
                <w:b/>
                <w:i/>
                <w:sz w:val="16"/>
                <w:szCs w:val="16"/>
              </w:rPr>
            </w:r>
            <w:r>
              <w:rPr>
                <w:b/>
                <w:i/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 xml:space="preserve">-66,6</w:t>
            </w:r>
            <w:r>
              <w:rPr>
                <w:b/>
                <w:i/>
                <w:sz w:val="16"/>
                <w:szCs w:val="16"/>
              </w:rPr>
            </w:r>
            <w:r>
              <w:rPr>
                <w:b/>
                <w:i/>
                <w:sz w:val="16"/>
                <w:szCs w:val="16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 xml:space="preserve">*</w:t>
            </w:r>
            <w:r>
              <w:rPr>
                <w:b/>
                <w:i/>
                <w:sz w:val="16"/>
                <w:szCs w:val="16"/>
              </w:rPr>
            </w:r>
            <w:r>
              <w:rPr>
                <w:b/>
                <w:i/>
                <w:sz w:val="16"/>
                <w:szCs w:val="16"/>
              </w:rPr>
            </w:r>
          </w:p>
        </w:tc>
        <w:tc>
          <w:tcPr>
            <w:tcW w:w="851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 xml:space="preserve">*</w:t>
            </w:r>
            <w:r>
              <w:rPr>
                <w:b/>
                <w:i/>
                <w:sz w:val="16"/>
                <w:szCs w:val="16"/>
              </w:rPr>
            </w:r>
            <w:r>
              <w:rPr>
                <w:b/>
                <w:i/>
                <w:sz w:val="16"/>
                <w:szCs w:val="16"/>
              </w:rPr>
            </w:r>
          </w:p>
        </w:tc>
      </w:tr>
    </w:tbl>
    <w:p>
      <w:pPr>
        <w:ind w:firstLine="567"/>
        <w:jc w:val="both"/>
        <w:tabs>
          <w:tab w:val="left" w:pos="0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567"/>
        <w:jc w:val="both"/>
        <w:tabs>
          <w:tab w:val="left" w:pos="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Свод количества проведенных контрольных и экспертно-аналитических мероприятий в разрезе муниципальных образований района представлен в Приложении к настоящему отчету.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0"/>
        <w:jc w:val="both"/>
        <w:rPr>
          <w:sz w:val="28"/>
          <w:szCs w:val="28"/>
        </w:rPr>
      </w:pPr>
      <w:r>
        <w:rPr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90"/>
        <w:jc w:val="center"/>
        <w:spacing w:before="0" w:beforeAutospacing="0" w:after="0" w:afterAutospacing="0"/>
        <w:rPr>
          <w:b/>
          <w:bCs/>
          <w:sz w:val="28"/>
          <w:szCs w:val="28"/>
          <w:highlight w:val="none"/>
        </w:rPr>
      </w:pPr>
      <w:r>
        <w:rPr>
          <w:b/>
          <w:bCs/>
          <w:sz w:val="28"/>
          <w:szCs w:val="28"/>
        </w:rPr>
        <w:t xml:space="preserve">4. </w:t>
      </w:r>
      <w:r>
        <w:rPr>
          <w:b/>
          <w:bCs/>
          <w:sz w:val="28"/>
          <w:szCs w:val="28"/>
        </w:rPr>
        <w:t xml:space="preserve">Обеспечение деятельности и взаимоде</w:t>
      </w:r>
      <w:r>
        <w:rPr>
          <w:b/>
          <w:bCs/>
          <w:sz w:val="28"/>
          <w:szCs w:val="28"/>
        </w:rPr>
        <w:t xml:space="preserve">й</w:t>
      </w:r>
      <w:r>
        <w:rPr>
          <w:b/>
          <w:bCs/>
          <w:sz w:val="28"/>
          <w:szCs w:val="28"/>
        </w:rPr>
        <w:t xml:space="preserve">ствия Ревизионной комиссии Вытегорского муниципального района</w:t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pStyle w:val="890"/>
        <w:jc w:val="center"/>
        <w:spacing w:before="0" w:beforeAutospacing="0" w:after="0" w:afterAutospacing="0"/>
        <w:rPr>
          <w:b/>
          <w:bCs/>
          <w:sz w:val="28"/>
          <w:szCs w:val="28"/>
          <w:highlight w:val="none"/>
        </w:rPr>
      </w:pP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pStyle w:val="890"/>
        <w:jc w:val="both"/>
        <w:spacing w:before="0" w:beforeAutospacing="0" w:after="0" w:afterAutospacing="0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По состоянию на 01 января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2025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года фактическая ч</w:t>
      </w:r>
      <w:r>
        <w:rPr>
          <w:sz w:val="28"/>
          <w:szCs w:val="28"/>
        </w:rPr>
        <w:t xml:space="preserve">исленность Ревизионной комиссии</w:t>
      </w:r>
      <w:r>
        <w:rPr>
          <w:sz w:val="28"/>
          <w:szCs w:val="28"/>
        </w:rPr>
        <w:t xml:space="preserve"> Вытегорского муниципального района</w:t>
      </w:r>
      <w:r>
        <w:rPr>
          <w:sz w:val="28"/>
          <w:szCs w:val="28"/>
        </w:rPr>
        <w:t xml:space="preserve"> составляет</w:t>
      </w:r>
      <w:r>
        <w:rPr>
          <w:sz w:val="28"/>
          <w:szCs w:val="28"/>
        </w:rPr>
        <w:t xml:space="preserve"> 2 человек</w:t>
      </w:r>
      <w:r>
        <w:rPr>
          <w:sz w:val="28"/>
          <w:szCs w:val="28"/>
        </w:rPr>
        <w:t xml:space="preserve">а (председатель, аудитор</w:t>
      </w:r>
      <w:r>
        <w:rPr>
          <w:sz w:val="28"/>
          <w:szCs w:val="28"/>
        </w:rPr>
        <w:t xml:space="preserve">), имеющих</w:t>
      </w:r>
      <w:r>
        <w:rPr>
          <w:sz w:val="28"/>
          <w:szCs w:val="28"/>
        </w:rPr>
        <w:t xml:space="preserve"> высшее </w:t>
      </w:r>
      <w:r>
        <w:rPr>
          <w:sz w:val="28"/>
          <w:szCs w:val="28"/>
        </w:rPr>
        <w:t xml:space="preserve"> образование.</w:t>
      </w:r>
      <w:r>
        <w:rPr>
          <w:sz w:val="28"/>
          <w:szCs w:val="28"/>
          <w:highlight w:val="none"/>
        </w:rPr>
        <w:t xml:space="preserve"> Должность </w:t>
      </w:r>
      <w:r>
        <w:rPr>
          <w:sz w:val="28"/>
          <w:szCs w:val="28"/>
          <w:highlight w:val="none"/>
        </w:rPr>
        <w:t xml:space="preserve">«</w:t>
      </w:r>
      <w:r>
        <w:rPr>
          <w:sz w:val="28"/>
          <w:szCs w:val="28"/>
          <w:highlight w:val="white"/>
        </w:rPr>
        <w:t xml:space="preserve">инспектор</w:t>
      </w:r>
      <w:r>
        <w:rPr>
          <w:sz w:val="28"/>
          <w:szCs w:val="28"/>
          <w:highlight w:val="none"/>
        </w:rPr>
        <w:t xml:space="preserve">»  в настоящий момент вакантна.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884"/>
        <w:jc w:val="both"/>
        <w:shd w:val="clear" w:color="auto" w:fill="ffffff"/>
        <w:rPr>
          <w:iCs/>
          <w:spacing w:val="-2"/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Финансирование деятельн</w:t>
      </w:r>
      <w:r>
        <w:rPr>
          <w:sz w:val="28"/>
          <w:szCs w:val="28"/>
        </w:rPr>
        <w:t xml:space="preserve">ости Ревизионной комиссии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осуществлялось за счет средств районного бюджета и средств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поступивших </w:t>
      </w:r>
      <w:r>
        <w:rPr>
          <w:sz w:val="28"/>
          <w:szCs w:val="28"/>
        </w:rPr>
        <w:t xml:space="preserve">от сельских поселений в рамках передачи </w:t>
      </w:r>
      <w:r>
        <w:rPr>
          <w:spacing w:val="3"/>
          <w:sz w:val="28"/>
          <w:szCs w:val="28"/>
        </w:rPr>
        <w:t xml:space="preserve">Представительному Собранию Вытегорского муниципального района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полномочий </w:t>
      </w:r>
      <w:r>
        <w:rPr>
          <w:spacing w:val="3"/>
          <w:sz w:val="28"/>
          <w:szCs w:val="28"/>
        </w:rPr>
        <w:t xml:space="preserve">контрол</w:t>
      </w:r>
      <w:r>
        <w:rPr>
          <w:spacing w:val="3"/>
          <w:sz w:val="28"/>
          <w:szCs w:val="28"/>
        </w:rPr>
        <w:t xml:space="preserve">ьно - счетного органа поселения</w:t>
      </w:r>
      <w:r>
        <w:rPr>
          <w:spacing w:val="3"/>
          <w:sz w:val="28"/>
          <w:szCs w:val="28"/>
        </w:rPr>
        <w:t xml:space="preserve"> по осуществлению внешнего муниципального финансового контроля</w:t>
      </w:r>
      <w:r>
        <w:rPr>
          <w:iCs/>
          <w:spacing w:val="-2"/>
          <w:sz w:val="28"/>
          <w:szCs w:val="28"/>
        </w:rPr>
        <w:t xml:space="preserve"> на</w:t>
      </w:r>
      <w:r>
        <w:rPr>
          <w:iCs/>
          <w:spacing w:val="-2"/>
          <w:sz w:val="28"/>
          <w:szCs w:val="28"/>
        </w:rPr>
        <w:t xml:space="preserve"> 2024</w:t>
      </w:r>
      <w:r>
        <w:rPr>
          <w:iCs/>
          <w:spacing w:val="-2"/>
          <w:sz w:val="28"/>
          <w:szCs w:val="28"/>
        </w:rPr>
        <w:t xml:space="preserve"> год</w:t>
      </w:r>
      <w:r>
        <w:rPr>
          <w:iCs/>
          <w:spacing w:val="-2"/>
          <w:sz w:val="28"/>
          <w:szCs w:val="28"/>
        </w:rPr>
        <w:t xml:space="preserve">. </w:t>
      </w:r>
      <w:r>
        <w:rPr>
          <w:iCs/>
          <w:spacing w:val="-2"/>
          <w:sz w:val="28"/>
          <w:szCs w:val="28"/>
        </w:rPr>
        <w:t xml:space="preserve">Объем финансирования, поступивший </w:t>
      </w:r>
      <w:r>
        <w:rPr>
          <w:iCs/>
          <w:spacing w:val="-2"/>
          <w:sz w:val="28"/>
          <w:szCs w:val="28"/>
        </w:rPr>
        <w:t xml:space="preserve">в </w:t>
      </w:r>
      <w:r>
        <w:rPr>
          <w:iCs/>
          <w:spacing w:val="-2"/>
          <w:sz w:val="28"/>
          <w:szCs w:val="28"/>
        </w:rPr>
        <w:t xml:space="preserve">2024</w:t>
      </w:r>
      <w:r>
        <w:rPr>
          <w:iCs/>
          <w:spacing w:val="-2"/>
          <w:sz w:val="28"/>
          <w:szCs w:val="28"/>
        </w:rPr>
        <w:t xml:space="preserve"> год</w:t>
      </w:r>
      <w:r>
        <w:rPr>
          <w:iCs/>
          <w:spacing w:val="-2"/>
          <w:sz w:val="28"/>
          <w:szCs w:val="28"/>
        </w:rPr>
        <w:t xml:space="preserve">у </w:t>
      </w:r>
      <w:r>
        <w:rPr>
          <w:iCs/>
          <w:spacing w:val="-2"/>
          <w:sz w:val="28"/>
          <w:szCs w:val="28"/>
        </w:rPr>
        <w:t xml:space="preserve">на текущее содержание Ревизионной комиссии ВМР </w:t>
      </w:r>
      <w:r>
        <w:rPr>
          <w:iCs/>
          <w:spacing w:val="-2"/>
          <w:sz w:val="28"/>
          <w:szCs w:val="28"/>
        </w:rPr>
        <w:t xml:space="preserve">составил 3124,9</w:t>
      </w:r>
      <w:r>
        <w:rPr>
          <w:iCs/>
          <w:spacing w:val="-2"/>
          <w:sz w:val="28"/>
          <w:szCs w:val="28"/>
        </w:rPr>
        <w:t xml:space="preserve"> тыс.руб.</w:t>
      </w:r>
      <w:r>
        <w:rPr>
          <w:iCs/>
          <w:spacing w:val="-2"/>
          <w:sz w:val="28"/>
          <w:szCs w:val="28"/>
        </w:rPr>
        <w:t xml:space="preserve"> (</w:t>
      </w:r>
      <w:r>
        <w:rPr>
          <w:iCs/>
          <w:spacing w:val="-2"/>
          <w:sz w:val="28"/>
          <w:szCs w:val="28"/>
        </w:rPr>
        <w:t xml:space="preserve">100,0</w:t>
      </w:r>
      <w:r>
        <w:rPr>
          <w:iCs/>
          <w:spacing w:val="-2"/>
          <w:sz w:val="28"/>
          <w:szCs w:val="28"/>
        </w:rPr>
        <w:t xml:space="preserve">% годового плана)</w:t>
      </w:r>
      <w:r>
        <w:rPr>
          <w:iCs/>
          <w:spacing w:val="-2"/>
          <w:sz w:val="28"/>
          <w:szCs w:val="28"/>
        </w:rPr>
        <w:t xml:space="preserve">, </w:t>
      </w:r>
      <w:r>
        <w:rPr>
          <w:iCs/>
          <w:spacing w:val="-2"/>
          <w:sz w:val="28"/>
          <w:szCs w:val="28"/>
        </w:rPr>
        <w:t xml:space="preserve">в том числе </w:t>
      </w:r>
      <w:r>
        <w:rPr>
          <w:iCs/>
          <w:spacing w:val="-2"/>
          <w:sz w:val="28"/>
          <w:szCs w:val="28"/>
        </w:rPr>
        <w:t xml:space="preserve">из районног</w:t>
      </w:r>
      <w:r>
        <w:rPr>
          <w:iCs/>
          <w:spacing w:val="-2"/>
          <w:sz w:val="28"/>
          <w:szCs w:val="28"/>
        </w:rPr>
        <w:t xml:space="preserve">о бюджета</w:t>
      </w:r>
      <w:r>
        <w:rPr>
          <w:iCs/>
          <w:spacing w:val="-2"/>
          <w:sz w:val="28"/>
          <w:szCs w:val="28"/>
        </w:rPr>
        <w:t xml:space="preserve"> поступило финансирование в сумме</w:t>
      </w:r>
      <w:r>
        <w:rPr>
          <w:iCs/>
          <w:spacing w:val="-2"/>
          <w:sz w:val="28"/>
          <w:szCs w:val="28"/>
        </w:rPr>
        <w:t xml:space="preserve"> 2026,5</w:t>
      </w:r>
      <w:r>
        <w:rPr>
          <w:iCs/>
          <w:spacing w:val="-2"/>
          <w:sz w:val="28"/>
          <w:szCs w:val="28"/>
        </w:rPr>
        <w:t xml:space="preserve"> тыс.руб</w:t>
      </w:r>
      <w:r>
        <w:rPr>
          <w:iCs/>
          <w:spacing w:val="-2"/>
          <w:sz w:val="28"/>
          <w:szCs w:val="28"/>
        </w:rPr>
        <w:t xml:space="preserve">лей, </w:t>
      </w:r>
      <w:r>
        <w:rPr>
          <w:iCs/>
          <w:spacing w:val="-2"/>
          <w:sz w:val="28"/>
          <w:szCs w:val="28"/>
        </w:rPr>
        <w:t xml:space="preserve"> из</w:t>
      </w:r>
      <w:r>
        <w:rPr>
          <w:iCs/>
          <w:spacing w:val="-2"/>
          <w:sz w:val="28"/>
          <w:szCs w:val="28"/>
        </w:rPr>
        <w:t xml:space="preserve"> бюджетов </w:t>
      </w:r>
      <w:r>
        <w:rPr>
          <w:iCs/>
          <w:spacing w:val="-2"/>
          <w:sz w:val="28"/>
          <w:szCs w:val="28"/>
        </w:rPr>
        <w:t xml:space="preserve"> поселений </w:t>
      </w:r>
      <w:r>
        <w:rPr>
          <w:iCs/>
          <w:spacing w:val="-2"/>
          <w:sz w:val="28"/>
          <w:szCs w:val="28"/>
        </w:rPr>
        <w:t xml:space="preserve">поступили средства</w:t>
      </w:r>
      <w:r>
        <w:rPr>
          <w:iCs/>
          <w:spacing w:val="-2"/>
          <w:sz w:val="28"/>
          <w:szCs w:val="28"/>
        </w:rPr>
        <w:t xml:space="preserve"> в сумме </w:t>
      </w:r>
      <w:r>
        <w:rPr>
          <w:iCs/>
          <w:spacing w:val="-2"/>
          <w:sz w:val="28"/>
          <w:szCs w:val="28"/>
        </w:rPr>
        <w:t xml:space="preserve">1098,4 </w:t>
      </w:r>
      <w:r>
        <w:rPr>
          <w:iCs/>
          <w:spacing w:val="-2"/>
          <w:sz w:val="28"/>
          <w:szCs w:val="28"/>
        </w:rPr>
        <w:t xml:space="preserve">тыс.рублей</w:t>
      </w:r>
      <w:r>
        <w:rPr>
          <w:iCs/>
          <w:spacing w:val="-2"/>
          <w:sz w:val="28"/>
          <w:szCs w:val="28"/>
        </w:rPr>
        <w:t xml:space="preserve">.</w:t>
      </w:r>
      <w:r>
        <w:rPr>
          <w:iCs/>
          <w:spacing w:val="-2"/>
          <w:sz w:val="28"/>
          <w:szCs w:val="28"/>
        </w:rPr>
        <w:t xml:space="preserve"> </w:t>
      </w:r>
      <w:r>
        <w:rPr>
          <w:iCs/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iCs/>
          <w:spacing w:val="-2"/>
          <w:sz w:val="28"/>
          <w:szCs w:val="28"/>
        </w:rPr>
      </w:r>
      <w:r>
        <w:rPr>
          <w:iCs/>
          <w:spacing w:val="-2"/>
          <w:sz w:val="28"/>
          <w:szCs w:val="28"/>
        </w:rPr>
      </w:r>
    </w:p>
    <w:p>
      <w:pPr>
        <w:pStyle w:val="88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целях совершенствования своей деятельности, обмена опытом и получения информационных материалов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Ревизионная комиссия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продолжает взаимодействовать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t xml:space="preserve">Контрольно-счётной палатой </w:t>
      </w:r>
      <w:r>
        <w:rPr>
          <w:sz w:val="28"/>
          <w:szCs w:val="28"/>
        </w:rPr>
        <w:t xml:space="preserve">Вологодской </w:t>
      </w:r>
      <w:r>
        <w:rPr>
          <w:sz w:val="28"/>
          <w:szCs w:val="28"/>
        </w:rPr>
        <w:t xml:space="preserve">области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Заключено соглашение о взаимодействии Ревизионной комиссии Вытегорского муниципального района и прокуратуры Вытегорского</w:t>
      </w:r>
      <w:r>
        <w:rPr>
          <w:sz w:val="28"/>
          <w:szCs w:val="28"/>
        </w:rPr>
        <w:t xml:space="preserve"> района.</w:t>
      </w:r>
      <w:r>
        <w:rPr>
          <w:sz w:val="28"/>
          <w:szCs w:val="28"/>
        </w:rPr>
        <w:t xml:space="preserve"> Материалы контрольных мероприятий направляются в прокуратуру района.</w:t>
      </w:r>
      <w:r>
        <w:rPr>
          <w:sz w:val="28"/>
          <w:szCs w:val="28"/>
        </w:rPr>
        <w:t xml:space="preserve"> Заключены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Соглашения</w:t>
      </w:r>
      <w:r>
        <w:rPr>
          <w:sz w:val="28"/>
          <w:szCs w:val="28"/>
        </w:rPr>
        <w:t xml:space="preserve"> об инф</w:t>
      </w:r>
      <w:r>
        <w:rPr>
          <w:sz w:val="28"/>
          <w:szCs w:val="28"/>
        </w:rPr>
        <w:t xml:space="preserve">ормационном взаимодействии с</w:t>
      </w:r>
      <w:r>
        <w:rPr>
          <w:sz w:val="28"/>
          <w:szCs w:val="28"/>
        </w:rPr>
        <w:t xml:space="preserve"> Управлением Федерального казначейства по Вологодской об</w:t>
      </w:r>
      <w:r>
        <w:rPr>
          <w:sz w:val="28"/>
          <w:szCs w:val="28"/>
        </w:rPr>
        <w:t xml:space="preserve">ласти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Председатель Ревизионной комиссии </w:t>
      </w:r>
      <w:r>
        <w:rPr>
          <w:sz w:val="28"/>
          <w:szCs w:val="28"/>
        </w:rPr>
        <w:t xml:space="preserve">принимал участие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заседаниях постоянных рабочих комиссий Представительного Собрания Вытегорского муниципального района</w:t>
      </w:r>
      <w:r>
        <w:rPr>
          <w:sz w:val="28"/>
          <w:szCs w:val="28"/>
        </w:rPr>
        <w:t xml:space="preserve">, Городского Совета МО «Город Вытегра»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присутствовал </w:t>
      </w:r>
      <w:r>
        <w:rPr>
          <w:sz w:val="28"/>
          <w:szCs w:val="28"/>
        </w:rPr>
        <w:t xml:space="preserve">на провод</w:t>
      </w:r>
      <w:r>
        <w:rPr>
          <w:sz w:val="28"/>
          <w:szCs w:val="28"/>
        </w:rPr>
        <w:t xml:space="preserve">имых сессиях Представительного С</w:t>
      </w:r>
      <w:r>
        <w:rPr>
          <w:sz w:val="28"/>
          <w:szCs w:val="28"/>
        </w:rPr>
        <w:t xml:space="preserve">обрания</w:t>
      </w:r>
      <w:r>
        <w:rPr>
          <w:sz w:val="28"/>
          <w:szCs w:val="28"/>
        </w:rPr>
        <w:t xml:space="preserve"> ВМР и сессиях Городского Совета МО «Гор</w:t>
      </w:r>
      <w:r>
        <w:rPr>
          <w:sz w:val="28"/>
          <w:szCs w:val="28"/>
        </w:rPr>
        <w:t xml:space="preserve">од Вытегра»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4"/>
        <w:ind w:firstLine="567"/>
        <w:jc w:val="both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Информация о результатах проведения контрольных и экспертно-аналитических мероприятий размещается </w:t>
      </w:r>
      <w:r>
        <w:rPr>
          <w:sz w:val="28"/>
          <w:szCs w:val="28"/>
        </w:rPr>
        <w:t xml:space="preserve">на официальном сайте Вытегорского муниципального района </w:t>
      </w:r>
      <w:r>
        <w:rPr>
          <w:sz w:val="28"/>
          <w:szCs w:val="28"/>
        </w:rPr>
        <w:t xml:space="preserve">в информационно-телекоммуникационной сети «Интернет»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90"/>
        <w:jc w:val="both"/>
        <w:spacing w:before="0" w:beforeAutospacing="0" w:after="0" w:afterAutospacing="0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Председатель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Ревизионной комиссии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890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Вытегорского муниципального района 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И.А. Парфенова</w:t>
      </w:r>
      <w:r>
        <w:rPr>
          <w:sz w:val="28"/>
          <w:szCs w:val="28"/>
        </w:rPr>
      </w:r>
      <w:r>
        <w:rPr>
          <w:sz w:val="28"/>
          <w:szCs w:val="28"/>
        </w:rPr>
      </w:r>
    </w:p>
    <w:sectPr>
      <w:footnotePr/>
      <w:endnotePr/>
      <w:type w:val="nextPage"/>
      <w:pgSz w:w="11906" w:h="16838" w:orient="portrait"/>
      <w:pgMar w:top="963" w:right="737" w:bottom="680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Symbol">
    <w:panose1 w:val="05010000000000000000"/>
  </w:font>
  <w:font w:name="Calibri">
    <w:panose1 w:val="020F0502020204030204"/>
  </w:font>
  <w:font w:name="Segoe UI">
    <w:panose1 w:val="020B0502040504020204"/>
  </w:font>
  <w:font w:name="Times New Roman">
    <w:panose1 w:val="02020603050405020304"/>
  </w:font>
  <w:font w:name="Verdana">
    <w:panose1 w:val="020B0604030504040204"/>
  </w:font>
  <w:font w:name="Courier New">
    <w:panose1 w:val="02070309020205020404"/>
  </w:font>
  <w:font w:name="Calibri Light">
    <w:panose1 w:val="020F0302020204030204"/>
  </w:font>
  <w:font w:name="Arial Unicode MS">
    <w:panose1 w:val="020B060402020202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50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22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4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6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8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0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2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4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62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22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4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6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8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0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2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4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62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92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92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10">
    <w:multiLevelType w:val="hybridMultilevel"/>
    <w:lvl w:ilvl="0">
      <w:start w:val="3"/>
      <w:numFmt w:val="decimal"/>
      <w:isLgl w:val="false"/>
      <w:suff w:val="tab"/>
      <w:lvlText w:val="%1)"/>
      <w:lvlJc w:val="left"/>
      <w:pPr>
        <w:ind w:left="92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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ascii="Times New Roman" w:hAnsi="Times New Roman" w:eastAsia="Arial Unicode MS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2" w:hanging="360"/>
        <w:tabs>
          <w:tab w:val="num" w:pos="502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720" w:hanging="720"/>
        <w:tabs>
          <w:tab w:val="num" w:pos="72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5115" w:hanging="720"/>
        <w:tabs>
          <w:tab w:val="num" w:pos="5115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  <w:tabs>
          <w:tab w:val="num" w:pos="108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  <w:tabs>
          <w:tab w:val="num" w:pos="108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  <w:tabs>
          <w:tab w:val="num" w:pos="14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  <w:tabs>
          <w:tab w:val="num" w:pos="180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  <w:tabs>
          <w:tab w:val="num" w:pos="18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  <w:tabs>
          <w:tab w:val="num" w:pos="2160" w:leader="none"/>
        </w:tabs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35" w:hanging="375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50"/>
      <w:numFmt w:val="decimal"/>
      <w:isLgl w:val="false"/>
      <w:suff w:val="tab"/>
      <w:lvlText w:val="%1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num w:numId="1">
    <w:abstractNumId w:val="14"/>
  </w:num>
  <w:num w:numId="2">
    <w:abstractNumId w:val="4"/>
  </w:num>
  <w:num w:numId="3">
    <w:abstractNumId w:val="2"/>
  </w:num>
  <w:num w:numId="4">
    <w:abstractNumId w:val="5"/>
  </w:num>
  <w:num w:numId="5">
    <w:abstractNumId w:val="20"/>
  </w:num>
  <w:num w:numId="6">
    <w:abstractNumId w:val="18"/>
  </w:num>
  <w:num w:numId="7">
    <w:abstractNumId w:val="6"/>
  </w:num>
  <w:num w:numId="8">
    <w:abstractNumId w:val="8"/>
  </w:num>
  <w:num w:numId="9">
    <w:abstractNumId w:val="13"/>
  </w:num>
  <w:num w:numId="10">
    <w:abstractNumId w:val="12"/>
  </w:num>
  <w:num w:numId="11">
    <w:abstractNumId w:val="0"/>
  </w:num>
  <w:num w:numId="12">
    <w:abstractNumId w:val="7"/>
  </w:num>
  <w:num w:numId="13">
    <w:abstractNumId w:val="10"/>
  </w:num>
  <w:num w:numId="14">
    <w:abstractNumId w:val="3"/>
  </w:num>
  <w:num w:numId="15">
    <w:abstractNumId w:val="15"/>
  </w:num>
  <w:num w:numId="16">
    <w:abstractNumId w:val="16"/>
  </w:num>
  <w:num w:numId="17">
    <w:abstractNumId w:val="21"/>
  </w:num>
  <w:num w:numId="18">
    <w:abstractNumId w:val="22"/>
  </w:num>
  <w:num w:numId="19">
    <w:abstractNumId w:val="17"/>
  </w:num>
  <w:num w:numId="20">
    <w:abstractNumId w:val="19"/>
  </w:num>
  <w:num w:numId="21">
    <w:abstractNumId w:val="11"/>
  </w:num>
  <w:num w:numId="22">
    <w:abstractNumId w:val="1"/>
  </w:num>
  <w:num w:numId="23">
    <w:abstractNumId w:val="9"/>
  </w:num>
  <w:num w:numId="24">
    <w:abstractNumId w:val="23"/>
  </w:num>
  <w:num w:numId="25">
    <w:abstractNumId w:val="24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06">
    <w:name w:val="Heading 1"/>
    <w:basedOn w:val="884"/>
    <w:next w:val="884"/>
    <w:link w:val="70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707">
    <w:name w:val="Heading 1 Char"/>
    <w:link w:val="706"/>
    <w:uiPriority w:val="9"/>
    <w:rPr>
      <w:rFonts w:ascii="Arial" w:hAnsi="Arial" w:eastAsia="Arial" w:cs="Arial"/>
      <w:sz w:val="40"/>
      <w:szCs w:val="40"/>
    </w:rPr>
  </w:style>
  <w:style w:type="paragraph" w:styleId="708">
    <w:name w:val="Heading 2"/>
    <w:basedOn w:val="884"/>
    <w:next w:val="884"/>
    <w:link w:val="709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709">
    <w:name w:val="Heading 2 Char"/>
    <w:link w:val="708"/>
    <w:uiPriority w:val="9"/>
    <w:rPr>
      <w:rFonts w:ascii="Arial" w:hAnsi="Arial" w:eastAsia="Arial" w:cs="Arial"/>
      <w:sz w:val="34"/>
    </w:rPr>
  </w:style>
  <w:style w:type="paragraph" w:styleId="710">
    <w:name w:val="Heading 3"/>
    <w:basedOn w:val="884"/>
    <w:next w:val="884"/>
    <w:link w:val="71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11">
    <w:name w:val="Heading 3 Char"/>
    <w:link w:val="710"/>
    <w:uiPriority w:val="9"/>
    <w:rPr>
      <w:rFonts w:ascii="Arial" w:hAnsi="Arial" w:eastAsia="Arial" w:cs="Arial"/>
      <w:sz w:val="30"/>
      <w:szCs w:val="30"/>
    </w:rPr>
  </w:style>
  <w:style w:type="paragraph" w:styleId="712">
    <w:name w:val="Heading 4"/>
    <w:basedOn w:val="884"/>
    <w:next w:val="884"/>
    <w:link w:val="71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13">
    <w:name w:val="Heading 4 Char"/>
    <w:link w:val="712"/>
    <w:uiPriority w:val="9"/>
    <w:rPr>
      <w:rFonts w:ascii="Arial" w:hAnsi="Arial" w:eastAsia="Arial" w:cs="Arial"/>
      <w:b/>
      <w:bCs/>
      <w:sz w:val="26"/>
      <w:szCs w:val="26"/>
    </w:rPr>
  </w:style>
  <w:style w:type="paragraph" w:styleId="714">
    <w:name w:val="Heading 5"/>
    <w:basedOn w:val="884"/>
    <w:next w:val="884"/>
    <w:link w:val="71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15">
    <w:name w:val="Heading 5 Char"/>
    <w:link w:val="714"/>
    <w:uiPriority w:val="9"/>
    <w:rPr>
      <w:rFonts w:ascii="Arial" w:hAnsi="Arial" w:eastAsia="Arial" w:cs="Arial"/>
      <w:b/>
      <w:bCs/>
      <w:sz w:val="24"/>
      <w:szCs w:val="24"/>
    </w:rPr>
  </w:style>
  <w:style w:type="paragraph" w:styleId="716">
    <w:name w:val="Heading 6"/>
    <w:basedOn w:val="884"/>
    <w:next w:val="884"/>
    <w:link w:val="71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17">
    <w:name w:val="Heading 6 Char"/>
    <w:link w:val="716"/>
    <w:uiPriority w:val="9"/>
    <w:rPr>
      <w:rFonts w:ascii="Arial" w:hAnsi="Arial" w:eastAsia="Arial" w:cs="Arial"/>
      <w:b/>
      <w:bCs/>
      <w:sz w:val="22"/>
      <w:szCs w:val="22"/>
    </w:rPr>
  </w:style>
  <w:style w:type="paragraph" w:styleId="718">
    <w:name w:val="Heading 7"/>
    <w:basedOn w:val="884"/>
    <w:next w:val="884"/>
    <w:link w:val="71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19">
    <w:name w:val="Heading 7 Char"/>
    <w:link w:val="71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20">
    <w:name w:val="Heading 8"/>
    <w:basedOn w:val="884"/>
    <w:next w:val="884"/>
    <w:link w:val="72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21">
    <w:name w:val="Heading 8 Char"/>
    <w:link w:val="720"/>
    <w:uiPriority w:val="9"/>
    <w:rPr>
      <w:rFonts w:ascii="Arial" w:hAnsi="Arial" w:eastAsia="Arial" w:cs="Arial"/>
      <w:i/>
      <w:iCs/>
      <w:sz w:val="22"/>
      <w:szCs w:val="22"/>
    </w:rPr>
  </w:style>
  <w:style w:type="paragraph" w:styleId="722">
    <w:name w:val="Heading 9"/>
    <w:basedOn w:val="884"/>
    <w:next w:val="884"/>
    <w:link w:val="72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23">
    <w:name w:val="Heading 9 Char"/>
    <w:link w:val="722"/>
    <w:uiPriority w:val="9"/>
    <w:rPr>
      <w:rFonts w:ascii="Arial" w:hAnsi="Arial" w:eastAsia="Arial" w:cs="Arial"/>
      <w:i/>
      <w:iCs/>
      <w:sz w:val="21"/>
      <w:szCs w:val="21"/>
    </w:rPr>
  </w:style>
  <w:style w:type="paragraph" w:styleId="724">
    <w:name w:val="List Paragraph"/>
    <w:basedOn w:val="884"/>
    <w:uiPriority w:val="34"/>
    <w:qFormat/>
    <w:pPr>
      <w:contextualSpacing/>
      <w:ind w:left="720"/>
    </w:pPr>
  </w:style>
  <w:style w:type="paragraph" w:styleId="725">
    <w:name w:val="No Spacing"/>
    <w:uiPriority w:val="1"/>
    <w:qFormat/>
    <w:pPr>
      <w:spacing w:before="0" w:after="0" w:line="240" w:lineRule="auto"/>
    </w:pPr>
  </w:style>
  <w:style w:type="paragraph" w:styleId="726">
    <w:name w:val="Title"/>
    <w:basedOn w:val="884"/>
    <w:next w:val="884"/>
    <w:link w:val="727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27">
    <w:name w:val="Title Char"/>
    <w:link w:val="726"/>
    <w:uiPriority w:val="10"/>
    <w:rPr>
      <w:sz w:val="48"/>
      <w:szCs w:val="48"/>
    </w:rPr>
  </w:style>
  <w:style w:type="paragraph" w:styleId="728">
    <w:name w:val="Subtitle"/>
    <w:basedOn w:val="884"/>
    <w:next w:val="884"/>
    <w:link w:val="729"/>
    <w:uiPriority w:val="11"/>
    <w:qFormat/>
    <w:pPr>
      <w:spacing w:before="200" w:after="200"/>
    </w:pPr>
    <w:rPr>
      <w:sz w:val="24"/>
      <w:szCs w:val="24"/>
    </w:rPr>
  </w:style>
  <w:style w:type="character" w:styleId="729">
    <w:name w:val="Subtitle Char"/>
    <w:link w:val="728"/>
    <w:uiPriority w:val="11"/>
    <w:rPr>
      <w:sz w:val="24"/>
      <w:szCs w:val="24"/>
    </w:rPr>
  </w:style>
  <w:style w:type="paragraph" w:styleId="730">
    <w:name w:val="Quote"/>
    <w:basedOn w:val="884"/>
    <w:next w:val="884"/>
    <w:link w:val="731"/>
    <w:uiPriority w:val="29"/>
    <w:qFormat/>
    <w:pPr>
      <w:ind w:left="720" w:right="720"/>
    </w:pPr>
    <w:rPr>
      <w:i/>
    </w:rPr>
  </w:style>
  <w:style w:type="character" w:styleId="731">
    <w:name w:val="Quote Char"/>
    <w:link w:val="730"/>
    <w:uiPriority w:val="29"/>
    <w:rPr>
      <w:i/>
    </w:rPr>
  </w:style>
  <w:style w:type="paragraph" w:styleId="732">
    <w:name w:val="Intense Quote"/>
    <w:basedOn w:val="884"/>
    <w:next w:val="884"/>
    <w:link w:val="733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33">
    <w:name w:val="Intense Quote Char"/>
    <w:link w:val="732"/>
    <w:uiPriority w:val="30"/>
    <w:rPr>
      <w:i/>
    </w:rPr>
  </w:style>
  <w:style w:type="paragraph" w:styleId="734">
    <w:name w:val="Header"/>
    <w:basedOn w:val="884"/>
    <w:link w:val="73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35">
    <w:name w:val="Header Char"/>
    <w:link w:val="734"/>
    <w:uiPriority w:val="99"/>
  </w:style>
  <w:style w:type="paragraph" w:styleId="736">
    <w:name w:val="Footer"/>
    <w:basedOn w:val="884"/>
    <w:link w:val="73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37">
    <w:name w:val="Footer Char"/>
    <w:link w:val="736"/>
    <w:uiPriority w:val="99"/>
  </w:style>
  <w:style w:type="paragraph" w:styleId="738">
    <w:name w:val="Caption"/>
    <w:basedOn w:val="884"/>
    <w:next w:val="88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39">
    <w:name w:val="Caption Char"/>
    <w:basedOn w:val="738"/>
    <w:link w:val="736"/>
    <w:uiPriority w:val="99"/>
  </w:style>
  <w:style w:type="table" w:styleId="740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1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2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3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4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45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47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9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0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1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72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73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74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75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76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77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78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79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80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81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82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83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84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85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86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87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88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89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5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04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05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06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07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08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09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10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1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2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3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4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6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5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6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7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8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9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0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1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32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33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34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35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36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37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38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39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40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41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42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43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44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45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46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47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48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49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50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51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52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3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54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55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56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57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58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59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60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61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62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63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64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65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66">
    <w:name w:val="Hyperlink"/>
    <w:uiPriority w:val="99"/>
    <w:unhideWhenUsed/>
    <w:rPr>
      <w:color w:val="0000ff" w:themeColor="hyperlink"/>
      <w:u w:val="single"/>
    </w:rPr>
  </w:style>
  <w:style w:type="paragraph" w:styleId="867">
    <w:name w:val="footnote text"/>
    <w:basedOn w:val="884"/>
    <w:link w:val="868"/>
    <w:uiPriority w:val="99"/>
    <w:semiHidden/>
    <w:unhideWhenUsed/>
    <w:pPr>
      <w:spacing w:after="40" w:line="240" w:lineRule="auto"/>
    </w:pPr>
    <w:rPr>
      <w:sz w:val="18"/>
    </w:rPr>
  </w:style>
  <w:style w:type="character" w:styleId="868">
    <w:name w:val="Footnote Text Char"/>
    <w:link w:val="867"/>
    <w:uiPriority w:val="99"/>
    <w:rPr>
      <w:sz w:val="18"/>
    </w:rPr>
  </w:style>
  <w:style w:type="character" w:styleId="869">
    <w:name w:val="footnote reference"/>
    <w:uiPriority w:val="99"/>
    <w:unhideWhenUsed/>
    <w:rPr>
      <w:vertAlign w:val="superscript"/>
    </w:rPr>
  </w:style>
  <w:style w:type="paragraph" w:styleId="870">
    <w:name w:val="endnote text"/>
    <w:basedOn w:val="884"/>
    <w:link w:val="871"/>
    <w:uiPriority w:val="99"/>
    <w:semiHidden/>
    <w:unhideWhenUsed/>
    <w:pPr>
      <w:spacing w:after="0" w:line="240" w:lineRule="auto"/>
    </w:pPr>
    <w:rPr>
      <w:sz w:val="20"/>
    </w:rPr>
  </w:style>
  <w:style w:type="character" w:styleId="871">
    <w:name w:val="Endnote Text Char"/>
    <w:link w:val="870"/>
    <w:uiPriority w:val="99"/>
    <w:rPr>
      <w:sz w:val="20"/>
    </w:rPr>
  </w:style>
  <w:style w:type="character" w:styleId="872">
    <w:name w:val="endnote reference"/>
    <w:uiPriority w:val="99"/>
    <w:semiHidden/>
    <w:unhideWhenUsed/>
    <w:rPr>
      <w:vertAlign w:val="superscript"/>
    </w:rPr>
  </w:style>
  <w:style w:type="paragraph" w:styleId="873">
    <w:name w:val="toc 1"/>
    <w:basedOn w:val="884"/>
    <w:next w:val="884"/>
    <w:uiPriority w:val="39"/>
    <w:unhideWhenUsed/>
    <w:pPr>
      <w:ind w:left="0" w:right="0" w:firstLine="0"/>
      <w:spacing w:after="57"/>
    </w:pPr>
  </w:style>
  <w:style w:type="paragraph" w:styleId="874">
    <w:name w:val="toc 2"/>
    <w:basedOn w:val="884"/>
    <w:next w:val="884"/>
    <w:uiPriority w:val="39"/>
    <w:unhideWhenUsed/>
    <w:pPr>
      <w:ind w:left="283" w:right="0" w:firstLine="0"/>
      <w:spacing w:after="57"/>
    </w:pPr>
  </w:style>
  <w:style w:type="paragraph" w:styleId="875">
    <w:name w:val="toc 3"/>
    <w:basedOn w:val="884"/>
    <w:next w:val="884"/>
    <w:uiPriority w:val="39"/>
    <w:unhideWhenUsed/>
    <w:pPr>
      <w:ind w:left="567" w:right="0" w:firstLine="0"/>
      <w:spacing w:after="57"/>
    </w:pPr>
  </w:style>
  <w:style w:type="paragraph" w:styleId="876">
    <w:name w:val="toc 4"/>
    <w:basedOn w:val="884"/>
    <w:next w:val="884"/>
    <w:uiPriority w:val="39"/>
    <w:unhideWhenUsed/>
    <w:pPr>
      <w:ind w:left="850" w:right="0" w:firstLine="0"/>
      <w:spacing w:after="57"/>
    </w:pPr>
  </w:style>
  <w:style w:type="paragraph" w:styleId="877">
    <w:name w:val="toc 5"/>
    <w:basedOn w:val="884"/>
    <w:next w:val="884"/>
    <w:uiPriority w:val="39"/>
    <w:unhideWhenUsed/>
    <w:pPr>
      <w:ind w:left="1134" w:right="0" w:firstLine="0"/>
      <w:spacing w:after="57"/>
    </w:pPr>
  </w:style>
  <w:style w:type="paragraph" w:styleId="878">
    <w:name w:val="toc 6"/>
    <w:basedOn w:val="884"/>
    <w:next w:val="884"/>
    <w:uiPriority w:val="39"/>
    <w:unhideWhenUsed/>
    <w:pPr>
      <w:ind w:left="1417" w:right="0" w:firstLine="0"/>
      <w:spacing w:after="57"/>
    </w:pPr>
  </w:style>
  <w:style w:type="paragraph" w:styleId="879">
    <w:name w:val="toc 7"/>
    <w:basedOn w:val="884"/>
    <w:next w:val="884"/>
    <w:uiPriority w:val="39"/>
    <w:unhideWhenUsed/>
    <w:pPr>
      <w:ind w:left="1701" w:right="0" w:firstLine="0"/>
      <w:spacing w:after="57"/>
    </w:pPr>
  </w:style>
  <w:style w:type="paragraph" w:styleId="880">
    <w:name w:val="toc 8"/>
    <w:basedOn w:val="884"/>
    <w:next w:val="884"/>
    <w:uiPriority w:val="39"/>
    <w:unhideWhenUsed/>
    <w:pPr>
      <w:ind w:left="1984" w:right="0" w:firstLine="0"/>
      <w:spacing w:after="57"/>
    </w:pPr>
  </w:style>
  <w:style w:type="paragraph" w:styleId="881">
    <w:name w:val="toc 9"/>
    <w:basedOn w:val="884"/>
    <w:next w:val="884"/>
    <w:uiPriority w:val="39"/>
    <w:unhideWhenUsed/>
    <w:pPr>
      <w:ind w:left="2268" w:right="0" w:firstLine="0"/>
      <w:spacing w:after="57"/>
    </w:pPr>
  </w:style>
  <w:style w:type="paragraph" w:styleId="882">
    <w:name w:val="TOC Heading"/>
    <w:uiPriority w:val="39"/>
    <w:unhideWhenUsed/>
  </w:style>
  <w:style w:type="paragraph" w:styleId="883">
    <w:name w:val="table of figures"/>
    <w:basedOn w:val="884"/>
    <w:next w:val="884"/>
    <w:uiPriority w:val="99"/>
    <w:unhideWhenUsed/>
    <w:pPr>
      <w:spacing w:after="0" w:afterAutospacing="0"/>
    </w:pPr>
  </w:style>
  <w:style w:type="paragraph" w:styleId="884" w:default="1">
    <w:name w:val="Normal"/>
    <w:next w:val="884"/>
    <w:link w:val="884"/>
    <w:qFormat/>
    <w:rPr>
      <w:sz w:val="24"/>
      <w:szCs w:val="24"/>
      <w:lang w:val="ru-RU" w:eastAsia="ru-RU" w:bidi="ar-SA"/>
    </w:rPr>
  </w:style>
  <w:style w:type="paragraph" w:styleId="885">
    <w:name w:val="Заголовок 1"/>
    <w:basedOn w:val="884"/>
    <w:next w:val="885"/>
    <w:link w:val="884"/>
    <w:qFormat/>
    <w:pPr>
      <w:spacing w:before="100" w:beforeAutospacing="1" w:after="100" w:afterAutospacing="1"/>
      <w:outlineLvl w:val="0"/>
    </w:pPr>
    <w:rPr>
      <w:b/>
      <w:bCs/>
      <w:sz w:val="48"/>
      <w:szCs w:val="48"/>
    </w:rPr>
  </w:style>
  <w:style w:type="paragraph" w:styleId="886">
    <w:name w:val="Заголовок 2"/>
    <w:basedOn w:val="884"/>
    <w:next w:val="884"/>
    <w:link w:val="903"/>
    <w:semiHidden/>
    <w:unhideWhenUsed/>
    <w:qFormat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val="en-US" w:eastAsia="en-US"/>
    </w:rPr>
  </w:style>
  <w:style w:type="character" w:styleId="887">
    <w:name w:val="Основной шрифт абзаца"/>
    <w:next w:val="887"/>
    <w:link w:val="884"/>
    <w:semiHidden/>
  </w:style>
  <w:style w:type="table" w:styleId="888">
    <w:name w:val="Обычная таблица"/>
    <w:next w:val="888"/>
    <w:link w:val="884"/>
    <w:semiHidden/>
    <w:tblPr/>
  </w:style>
  <w:style w:type="numbering" w:styleId="889">
    <w:name w:val="Нет списка"/>
    <w:next w:val="889"/>
    <w:link w:val="884"/>
    <w:semiHidden/>
  </w:style>
  <w:style w:type="paragraph" w:styleId="890">
    <w:name w:val="Обычный (веб)"/>
    <w:basedOn w:val="884"/>
    <w:next w:val="890"/>
    <w:link w:val="884"/>
    <w:uiPriority w:val="99"/>
    <w:pPr>
      <w:spacing w:before="100" w:beforeAutospacing="1" w:after="100" w:afterAutospacing="1"/>
    </w:pPr>
  </w:style>
  <w:style w:type="character" w:styleId="891">
    <w:name w:val="Строгий"/>
    <w:next w:val="891"/>
    <w:link w:val="884"/>
    <w:qFormat/>
    <w:rPr>
      <w:b/>
      <w:bCs/>
    </w:rPr>
  </w:style>
  <w:style w:type="character" w:styleId="892">
    <w:name w:val="Гиперссылка"/>
    <w:next w:val="892"/>
    <w:link w:val="884"/>
    <w:rPr>
      <w:color w:val="0000ff"/>
      <w:u w:val="single"/>
    </w:rPr>
  </w:style>
  <w:style w:type="paragraph" w:styleId="893">
    <w:name w:val="Plain Text"/>
    <w:basedOn w:val="884"/>
    <w:next w:val="893"/>
    <w:link w:val="884"/>
    <w:rPr>
      <w:rFonts w:ascii="Courier New" w:hAnsi="Courier New"/>
      <w:sz w:val="20"/>
      <w:szCs w:val="20"/>
      <w:lang w:eastAsia="ar-SA"/>
    </w:rPr>
  </w:style>
  <w:style w:type="paragraph" w:styleId="894">
    <w:name w:val="ConsNormal"/>
    <w:next w:val="894"/>
    <w:link w:val="884"/>
    <w:pPr>
      <w:ind w:right="19772" w:firstLine="720"/>
      <w:widowControl w:val="off"/>
    </w:pPr>
    <w:rPr>
      <w:rFonts w:ascii="Arial" w:hAnsi="Arial" w:cs="Arial"/>
      <w:lang w:val="ru-RU" w:eastAsia="ru-RU" w:bidi="ar-SA"/>
    </w:rPr>
  </w:style>
  <w:style w:type="paragraph" w:styleId="895">
    <w:name w:val="align-justify"/>
    <w:basedOn w:val="884"/>
    <w:next w:val="895"/>
    <w:link w:val="884"/>
    <w:pPr>
      <w:spacing w:before="100" w:beforeAutospacing="1" w:after="100" w:afterAutospacing="1"/>
    </w:pPr>
  </w:style>
  <w:style w:type="paragraph" w:styleId="896">
    <w:name w:val="Основной текст с отступом"/>
    <w:basedOn w:val="884"/>
    <w:next w:val="896"/>
    <w:link w:val="897"/>
    <w:pPr>
      <w:ind w:left="283"/>
      <w:spacing w:after="120"/>
    </w:pPr>
    <w:rPr>
      <w:lang w:val="en-US" w:eastAsia="en-US"/>
    </w:rPr>
  </w:style>
  <w:style w:type="character" w:styleId="897">
    <w:name w:val="Основной текст с отступом Знак"/>
    <w:next w:val="897"/>
    <w:link w:val="896"/>
    <w:rPr>
      <w:sz w:val="24"/>
      <w:szCs w:val="24"/>
    </w:rPr>
  </w:style>
  <w:style w:type="paragraph" w:styleId="898">
    <w:name w:val="Char Char"/>
    <w:basedOn w:val="884"/>
    <w:next w:val="898"/>
    <w:link w:val="88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899">
    <w:name w:val="Основной текст 2"/>
    <w:basedOn w:val="884"/>
    <w:next w:val="899"/>
    <w:link w:val="900"/>
    <w:pPr>
      <w:spacing w:after="120" w:line="480" w:lineRule="auto"/>
    </w:pPr>
    <w:rPr>
      <w:lang w:val="en-US" w:eastAsia="en-US"/>
    </w:rPr>
  </w:style>
  <w:style w:type="character" w:styleId="900">
    <w:name w:val="Основной текст 2 Знак"/>
    <w:next w:val="900"/>
    <w:link w:val="899"/>
    <w:rPr>
      <w:sz w:val="24"/>
      <w:szCs w:val="24"/>
    </w:rPr>
  </w:style>
  <w:style w:type="table" w:styleId="901">
    <w:name w:val="Сетка таблицы"/>
    <w:basedOn w:val="888"/>
    <w:next w:val="901"/>
    <w:link w:val="884"/>
    <w:tblPr/>
  </w:style>
  <w:style w:type="paragraph" w:styleId="902">
    <w:name w:val="Без интервала"/>
    <w:next w:val="902"/>
    <w:link w:val="884"/>
    <w:uiPriority w:val="1"/>
    <w:qFormat/>
    <w:rPr>
      <w:lang w:val="ru-RU" w:eastAsia="ru-RU" w:bidi="ar-SA"/>
    </w:rPr>
  </w:style>
  <w:style w:type="character" w:styleId="903">
    <w:name w:val="Заголовок 2 Знак"/>
    <w:next w:val="903"/>
    <w:link w:val="886"/>
    <w:semiHidden/>
    <w:rPr>
      <w:rFonts w:ascii="Calibri Light" w:hAnsi="Calibri Light" w:eastAsia="Times New Roman" w:cs="Times New Roman"/>
      <w:b/>
      <w:bCs/>
      <w:i/>
      <w:iCs/>
      <w:sz w:val="28"/>
      <w:szCs w:val="28"/>
    </w:rPr>
  </w:style>
  <w:style w:type="paragraph" w:styleId="904">
    <w:name w:val="Текст выноски"/>
    <w:basedOn w:val="884"/>
    <w:next w:val="904"/>
    <w:link w:val="905"/>
    <w:rPr>
      <w:rFonts w:ascii="Segoe UI" w:hAnsi="Segoe UI"/>
      <w:sz w:val="18"/>
      <w:szCs w:val="18"/>
      <w:lang w:val="en-US" w:eastAsia="en-US"/>
    </w:rPr>
  </w:style>
  <w:style w:type="character" w:styleId="905">
    <w:name w:val="Текст выноски Знак"/>
    <w:next w:val="905"/>
    <w:link w:val="904"/>
    <w:rPr>
      <w:rFonts w:ascii="Segoe UI" w:hAnsi="Segoe UI" w:cs="Segoe UI"/>
      <w:sz w:val="18"/>
      <w:szCs w:val="18"/>
    </w:rPr>
  </w:style>
  <w:style w:type="paragraph" w:styleId="906">
    <w:name w:val="ConsPlusNonformat"/>
    <w:next w:val="906"/>
    <w:link w:val="884"/>
    <w:pPr>
      <w:widowControl w:val="off"/>
    </w:pPr>
    <w:rPr>
      <w:rFonts w:ascii="Courier New" w:hAnsi="Courier New" w:cs="Courier New"/>
      <w:lang w:val="ru-RU" w:eastAsia="ru-RU" w:bidi="ar-SA"/>
    </w:rPr>
  </w:style>
  <w:style w:type="paragraph" w:styleId="907">
    <w:name w:val="ConsPlusNormal"/>
    <w:next w:val="907"/>
    <w:link w:val="884"/>
    <w:pPr>
      <w:widowControl w:val="off"/>
    </w:pPr>
    <w:rPr>
      <w:rFonts w:ascii="Arial" w:hAnsi="Arial" w:cs="Arial"/>
      <w:lang w:val="ru-RU" w:eastAsia="ru-RU" w:bidi="ar-SA"/>
    </w:rPr>
  </w:style>
  <w:style w:type="character" w:styleId="908">
    <w:name w:val="Основной текст_"/>
    <w:next w:val="908"/>
    <w:link w:val="909"/>
    <w:rPr>
      <w:sz w:val="24"/>
      <w:szCs w:val="24"/>
      <w:shd w:val="clear" w:color="auto" w:fill="ffffff"/>
    </w:rPr>
  </w:style>
  <w:style w:type="paragraph" w:styleId="909">
    <w:name w:val="Основной текст3"/>
    <w:basedOn w:val="884"/>
    <w:next w:val="909"/>
    <w:link w:val="908"/>
    <w:pPr>
      <w:ind w:hanging="180"/>
      <w:spacing w:before="240" w:after="240" w:line="0" w:lineRule="atLeast"/>
      <w:shd w:val="clear" w:color="auto" w:fill="ffffff"/>
    </w:pPr>
    <w:rPr>
      <w:lang w:val="en-US" w:eastAsia="en-US"/>
    </w:rPr>
  </w:style>
  <w:style w:type="paragraph" w:styleId="910">
    <w:name w:val="Абзац списка"/>
    <w:basedOn w:val="884"/>
    <w:next w:val="910"/>
    <w:link w:val="884"/>
    <w:uiPriority w:val="34"/>
    <w:qFormat/>
    <w:pPr>
      <w:ind w:left="708"/>
    </w:pPr>
  </w:style>
  <w:style w:type="table" w:styleId="911">
    <w:name w:val="Сетка таблицы22"/>
    <w:basedOn w:val="888"/>
    <w:next w:val="901"/>
    <w:link w:val="884"/>
    <w:uiPriority w:val="99"/>
    <w:rPr>
      <w:rFonts w:ascii="Calibri" w:hAnsi="Calibri" w:eastAsia="Calibri"/>
    </w:rPr>
    <w:tblPr/>
  </w:style>
  <w:style w:type="character" w:styleId="912" w:default="1">
    <w:name w:val="Default Paragraph Font"/>
    <w:uiPriority w:val="1"/>
    <w:semiHidden/>
    <w:unhideWhenUsed/>
  </w:style>
  <w:style w:type="numbering" w:styleId="913" w:default="1">
    <w:name w:val="No List"/>
    <w:uiPriority w:val="99"/>
    <w:semiHidden/>
    <w:unhideWhenUsed/>
  </w:style>
  <w:style w:type="table" w:styleId="914" w:default="1">
    <w:name w:val="Normal Table"/>
    <w:uiPriority w:val="99"/>
    <w:semiHidden/>
    <w:unhideWhenUsed/>
    <w:tblPr/>
  </w:style>
  <w:style w:type="paragraph" w:styleId="915" w:customStyle="1">
    <w:name w:val="Цитата"/>
    <w:pPr>
      <w:contextualSpacing w:val="0"/>
      <w:ind w:left="-567" w:right="-99" w:firstLine="567"/>
      <w:jc w:val="both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Calibri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6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916" w:customStyle="1">
    <w:name w:val="Block Text"/>
    <w:pPr>
      <w:contextualSpacing w:val="0"/>
      <w:ind w:left="-567" w:right="-99" w:firstLine="567"/>
      <w:jc w:val="both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Calibri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6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917" w:customStyle="1">
    <w:name w:val="Normal (Web)"/>
    <w:pPr>
      <w:contextualSpacing w:val="0"/>
      <w:ind w:left="0" w:right="0" w:firstLine="0"/>
      <w:jc w:val="left"/>
      <w:keepLines w:val="0"/>
      <w:keepNext w:val="0"/>
      <w:pageBreakBefore w:val="0"/>
      <w:spacing w:before="100" w:beforeAutospacing="1" w:after="100" w:afterAutospacing="1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Calibri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Р7-Офис/2024.4.1.630</Application>
  <Company>DG Win&amp;Soft</Company>
  <DocSecurity>0</DocSecurity>
  <HyperlinksChanged>false</HyperlinksChanged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КСП</dc:creator>
  <cp:lastModifiedBy>parfenova</cp:lastModifiedBy>
  <cp:revision>45</cp:revision>
  <dcterms:created xsi:type="dcterms:W3CDTF">2023-07-05T11:09:00Z</dcterms:created>
  <dcterms:modified xsi:type="dcterms:W3CDTF">2025-03-06T11:53:03Z</dcterms:modified>
  <cp:version>983040</cp:version>
</cp:coreProperties>
</file>